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C3ABB0F">
      <w:pPr>
        <w:spacing w:line="580" w:lineRule="exact"/>
        <w:rPr>
          <w:rFonts w:ascii="幼圆" w:hAnsi="宋体" w:eastAsia="幼圆"/>
          <w:b/>
          <w:color w:val="000000"/>
          <w:sz w:val="28"/>
          <w:szCs w:val="28"/>
        </w:rPr>
      </w:pPr>
      <w:r>
        <w:rPr>
          <w:rFonts w:hint="eastAsia" w:ascii="幼圆" w:hAnsi="宋体" w:eastAsia="幼圆"/>
          <w:b/>
          <w:color w:val="000000"/>
          <w:sz w:val="28"/>
          <w:szCs w:val="28"/>
        </w:rPr>
        <w:t>附件1：中标确认书</w:t>
      </w:r>
    </w:p>
    <w:p w14:paraId="31D2F2E1">
      <w:pPr>
        <w:spacing w:line="720" w:lineRule="auto"/>
        <w:jc w:val="center"/>
        <w:rPr>
          <w:rFonts w:ascii="宋体" w:hAnsi="宋体"/>
          <w:b/>
          <w:color w:val="000000"/>
          <w:sz w:val="32"/>
          <w:szCs w:val="32"/>
        </w:rPr>
      </w:pPr>
      <w:r>
        <w:rPr>
          <w:rFonts w:hint="eastAsia" w:ascii="宋体" w:hAnsi="宋体"/>
          <w:b/>
          <w:color w:val="000000"/>
          <w:sz w:val="32"/>
          <w:szCs w:val="32"/>
        </w:rPr>
        <w:t>中标确认书</w:t>
      </w:r>
    </w:p>
    <w:p w14:paraId="429E1660">
      <w:pPr>
        <w:spacing w:line="560" w:lineRule="exact"/>
        <w:ind w:firstLine="565" w:firstLineChars="202"/>
        <w:rPr>
          <w:rFonts w:ascii="宋体" w:hAnsi="宋体"/>
          <w:color w:val="000000"/>
          <w:sz w:val="28"/>
          <w:szCs w:val="28"/>
          <w:u w:val="single"/>
        </w:rPr>
      </w:pPr>
      <w:r>
        <w:rPr>
          <w:rFonts w:hint="eastAsia" w:ascii="宋体" w:hAnsi="宋体"/>
          <w:color w:val="000000"/>
          <w:sz w:val="28"/>
          <w:szCs w:val="28"/>
        </w:rPr>
        <w:t>甲方（招租人）：</w:t>
      </w:r>
      <w:r>
        <w:rPr>
          <w:rFonts w:hint="eastAsia" w:ascii="宋体" w:hAnsi="宋体"/>
          <w:color w:val="000000"/>
          <w:sz w:val="28"/>
          <w:szCs w:val="28"/>
          <w:u w:val="single"/>
        </w:rPr>
        <w:t xml:space="preserve">  盐城市新滩盐场实业发展有限公司  </w:t>
      </w:r>
    </w:p>
    <w:p w14:paraId="7F9A8AF6">
      <w:pPr>
        <w:spacing w:line="560" w:lineRule="exact"/>
        <w:ind w:firstLine="565" w:firstLineChars="202"/>
        <w:rPr>
          <w:rFonts w:ascii="宋体" w:hAnsi="宋体"/>
          <w:color w:val="000000"/>
          <w:sz w:val="28"/>
          <w:szCs w:val="28"/>
        </w:rPr>
      </w:pPr>
      <w:r>
        <w:rPr>
          <w:rFonts w:hint="eastAsia" w:ascii="宋体" w:hAnsi="宋体"/>
          <w:color w:val="000000"/>
          <w:sz w:val="28"/>
          <w:szCs w:val="28"/>
        </w:rPr>
        <w:t>乙方（中标人）：</w:t>
      </w:r>
    </w:p>
    <w:p w14:paraId="4A45EE70">
      <w:pPr>
        <w:spacing w:line="240" w:lineRule="exact"/>
        <w:ind w:firstLine="565" w:firstLineChars="202"/>
        <w:rPr>
          <w:rFonts w:ascii="宋体" w:hAnsi="宋体"/>
          <w:color w:val="000000"/>
          <w:sz w:val="28"/>
          <w:szCs w:val="28"/>
        </w:rPr>
      </w:pPr>
    </w:p>
    <w:p w14:paraId="530DA6B6">
      <w:pPr>
        <w:spacing w:line="500" w:lineRule="exact"/>
        <w:ind w:firstLine="565" w:firstLineChars="202"/>
        <w:rPr>
          <w:rFonts w:ascii="宋体" w:hAnsi="宋体"/>
          <w:color w:val="000000"/>
          <w:sz w:val="28"/>
          <w:szCs w:val="28"/>
        </w:rPr>
      </w:pPr>
      <w:r>
        <w:rPr>
          <w:rFonts w:hint="eastAsia" w:ascii="宋体" w:hAnsi="宋体"/>
          <w:color w:val="000000"/>
          <w:sz w:val="28"/>
          <w:szCs w:val="28"/>
        </w:rPr>
        <w:t>在甲方组织的2025年5610亩闲置土地出租公开招租程序中，乙方已被确定为中标人。现将相关事项确认如下：</w:t>
      </w:r>
    </w:p>
    <w:p w14:paraId="1D5C7D53">
      <w:pPr>
        <w:spacing w:line="500" w:lineRule="exact"/>
        <w:ind w:firstLine="565" w:firstLineChars="202"/>
        <w:rPr>
          <w:rFonts w:ascii="宋体" w:hAnsi="宋体"/>
          <w:color w:val="000000"/>
          <w:sz w:val="28"/>
          <w:szCs w:val="28"/>
        </w:rPr>
      </w:pPr>
      <w:r>
        <w:rPr>
          <w:rFonts w:hint="eastAsia" w:ascii="宋体" w:hAnsi="宋体"/>
          <w:color w:val="000000"/>
          <w:sz w:val="28"/>
          <w:szCs w:val="28"/>
        </w:rPr>
        <w:t>1、乙方竞租成功的土地为水厂南、斜拉桥北</w:t>
      </w:r>
      <w:r>
        <w:rPr>
          <w:rFonts w:hint="eastAsia" w:ascii="宋体" w:hAnsi="宋体"/>
          <w:color w:val="000000"/>
          <w:sz w:val="28"/>
          <w:szCs w:val="28"/>
          <w:u w:val="single"/>
        </w:rPr>
        <w:t xml:space="preserve">     </w:t>
      </w:r>
      <w:r>
        <w:rPr>
          <w:rFonts w:hint="eastAsia" w:ascii="宋体" w:hAnsi="宋体"/>
          <w:color w:val="000000"/>
          <w:sz w:val="28"/>
          <w:szCs w:val="28"/>
        </w:rPr>
        <w:t>亩土地。</w:t>
      </w:r>
    </w:p>
    <w:p w14:paraId="2D90CFDF">
      <w:pPr>
        <w:spacing w:line="500" w:lineRule="exact"/>
        <w:ind w:firstLine="565" w:firstLineChars="202"/>
        <w:rPr>
          <w:rFonts w:ascii="宋体" w:hAnsi="宋体"/>
          <w:color w:val="000000"/>
          <w:sz w:val="28"/>
          <w:szCs w:val="28"/>
        </w:rPr>
      </w:pPr>
      <w:r>
        <w:rPr>
          <w:rFonts w:hint="eastAsia" w:ascii="宋体" w:hAnsi="宋体"/>
          <w:color w:val="000000"/>
          <w:sz w:val="28"/>
          <w:szCs w:val="28"/>
        </w:rPr>
        <w:t>2、乙方应缴纳的履约保证金为小写</w:t>
      </w:r>
      <w:r>
        <w:rPr>
          <w:rFonts w:hint="eastAsia" w:ascii="宋体" w:hAnsi="宋体"/>
          <w:color w:val="000000"/>
          <w:sz w:val="28"/>
          <w:szCs w:val="28"/>
          <w:u w:val="single"/>
        </w:rPr>
        <w:t xml:space="preserve">      </w:t>
      </w:r>
      <w:r>
        <w:rPr>
          <w:rFonts w:hint="eastAsia" w:ascii="宋体" w:hAnsi="宋体"/>
          <w:color w:val="000000"/>
          <w:sz w:val="28"/>
          <w:szCs w:val="28"/>
        </w:rPr>
        <w:t>元；第一期租金为小写</w:t>
      </w:r>
      <w:r>
        <w:rPr>
          <w:rFonts w:hint="eastAsia" w:ascii="宋体" w:hAnsi="宋体"/>
          <w:color w:val="000000"/>
          <w:sz w:val="28"/>
          <w:szCs w:val="28"/>
          <w:u w:val="single"/>
        </w:rPr>
        <w:t xml:space="preserve">   </w:t>
      </w:r>
      <w:r>
        <w:rPr>
          <w:rFonts w:hint="eastAsia" w:ascii="宋体" w:hAnsi="宋体"/>
          <w:color w:val="000000"/>
          <w:sz w:val="28"/>
          <w:szCs w:val="28"/>
        </w:rPr>
        <w:t>元。合计总金额为小写</w:t>
      </w:r>
      <w:r>
        <w:rPr>
          <w:rFonts w:hint="eastAsia" w:ascii="宋体" w:hAnsi="宋体"/>
          <w:color w:val="000000"/>
          <w:sz w:val="28"/>
          <w:szCs w:val="28"/>
          <w:u w:val="single"/>
        </w:rPr>
        <w:t xml:space="preserve">      </w:t>
      </w:r>
      <w:r>
        <w:rPr>
          <w:rFonts w:hint="eastAsia" w:ascii="宋体" w:hAnsi="宋体"/>
          <w:color w:val="000000"/>
          <w:sz w:val="28"/>
          <w:szCs w:val="28"/>
        </w:rPr>
        <w:t>元。乙方已缴纳的竞租保证金小写元自动转入履约保证金，预付租金小写</w:t>
      </w:r>
      <w:r>
        <w:rPr>
          <w:rFonts w:hint="eastAsia" w:ascii="宋体" w:hAnsi="宋体"/>
          <w:color w:val="000000"/>
          <w:sz w:val="28"/>
          <w:szCs w:val="28"/>
          <w:u w:val="single"/>
        </w:rPr>
        <w:t xml:space="preserve">     </w:t>
      </w:r>
      <w:r>
        <w:rPr>
          <w:rFonts w:hint="eastAsia" w:ascii="宋体" w:hAnsi="宋体"/>
          <w:color w:val="000000"/>
          <w:sz w:val="28"/>
          <w:szCs w:val="28"/>
        </w:rPr>
        <w:t>元自动转入第一期租金，乙方需补足履约保证金</w:t>
      </w:r>
      <w:r>
        <w:rPr>
          <w:rFonts w:hint="eastAsia" w:ascii="宋体" w:hAnsi="宋体"/>
          <w:color w:val="000000"/>
          <w:sz w:val="28"/>
          <w:szCs w:val="28"/>
          <w:u w:val="single"/>
        </w:rPr>
        <w:t xml:space="preserve">     </w:t>
      </w:r>
      <w:r>
        <w:rPr>
          <w:rFonts w:hint="eastAsia" w:ascii="宋体" w:hAnsi="宋体"/>
          <w:color w:val="000000"/>
          <w:sz w:val="28"/>
          <w:szCs w:val="28"/>
        </w:rPr>
        <w:t>元、第一期租金</w:t>
      </w:r>
      <w:r>
        <w:rPr>
          <w:rFonts w:hint="eastAsia" w:ascii="宋体" w:hAnsi="宋体"/>
          <w:color w:val="000000"/>
          <w:sz w:val="28"/>
          <w:szCs w:val="28"/>
          <w:u w:val="single"/>
        </w:rPr>
        <w:t xml:space="preserve">      </w:t>
      </w:r>
      <w:r>
        <w:rPr>
          <w:rFonts w:hint="eastAsia" w:ascii="宋体" w:hAnsi="宋体"/>
          <w:color w:val="000000"/>
          <w:sz w:val="28"/>
          <w:szCs w:val="28"/>
        </w:rPr>
        <w:t>元。上述两项合计人民币大写</w:t>
      </w:r>
      <w:r>
        <w:rPr>
          <w:rFonts w:hint="eastAsia" w:ascii="宋体" w:hAnsi="宋体"/>
          <w:color w:val="000000"/>
          <w:sz w:val="28"/>
          <w:szCs w:val="28"/>
          <w:u w:val="single"/>
        </w:rPr>
        <w:t xml:space="preserve">    </w:t>
      </w:r>
      <w:bookmarkStart w:id="0" w:name="OLE_LINK1"/>
      <w:r>
        <w:rPr>
          <w:rFonts w:hint="eastAsia" w:ascii="宋体" w:hAnsi="宋体"/>
          <w:color w:val="000000"/>
          <w:sz w:val="28"/>
          <w:szCs w:val="28"/>
        </w:rPr>
        <w:t>元</w:t>
      </w:r>
      <w:bookmarkEnd w:id="0"/>
      <w:r>
        <w:rPr>
          <w:rFonts w:hint="eastAsia" w:ascii="宋体" w:hAnsi="宋体"/>
          <w:color w:val="000000"/>
          <w:sz w:val="28"/>
          <w:szCs w:val="28"/>
        </w:rPr>
        <w:t>，由乙方自签署本确认书后7日内付清。</w:t>
      </w:r>
    </w:p>
    <w:p w14:paraId="73310D4F">
      <w:pPr>
        <w:spacing w:line="500" w:lineRule="exact"/>
        <w:ind w:firstLine="565" w:firstLineChars="202"/>
        <w:rPr>
          <w:rFonts w:ascii="宋体" w:hAnsi="宋体"/>
          <w:color w:val="000000"/>
          <w:sz w:val="28"/>
          <w:szCs w:val="28"/>
        </w:rPr>
      </w:pPr>
      <w:r>
        <w:rPr>
          <w:rFonts w:hint="eastAsia" w:ascii="宋体" w:hAnsi="宋体"/>
          <w:color w:val="000000"/>
          <w:sz w:val="28"/>
          <w:szCs w:val="28"/>
        </w:rPr>
        <w:t>3、在乙方交清履约保证金和第一期租金后3日内，乙方须与甲方正式签署此前已公布的《池塘租赁合同》。租赁合同中的权利义务性条款不作实质性调整。</w:t>
      </w:r>
    </w:p>
    <w:p w14:paraId="5D5C45C0">
      <w:pPr>
        <w:spacing w:line="500" w:lineRule="exact"/>
        <w:ind w:firstLine="565" w:firstLineChars="202"/>
        <w:rPr>
          <w:rFonts w:ascii="宋体" w:hAnsi="宋体"/>
          <w:color w:val="000000"/>
          <w:sz w:val="28"/>
          <w:szCs w:val="28"/>
        </w:rPr>
      </w:pPr>
      <w:r>
        <w:rPr>
          <w:rFonts w:hint="eastAsia" w:ascii="宋体" w:hAnsi="宋体"/>
          <w:color w:val="000000"/>
          <w:sz w:val="28"/>
          <w:szCs w:val="28"/>
        </w:rPr>
        <w:t>4、如中标人未能与招租人签订《中标确认书》、或竞租人未</w:t>
      </w:r>
      <w:bookmarkStart w:id="5" w:name="_GoBack"/>
      <w:bookmarkEnd w:id="5"/>
      <w:r>
        <w:rPr>
          <w:rFonts w:hint="eastAsia" w:ascii="宋体" w:hAnsi="宋体"/>
          <w:color w:val="000000"/>
          <w:sz w:val="28"/>
          <w:szCs w:val="28"/>
        </w:rPr>
        <w:t>能按时足额缴纳履约保证金和租金的、或逾期签署租赁合同的，招租人有权取消中标人的中标资格，可以通知第二名中标候选人签署《中标确认书》和《池塘租赁合同》，也可以重新招租。</w:t>
      </w:r>
    </w:p>
    <w:p w14:paraId="62430CDD">
      <w:pPr>
        <w:spacing w:line="500" w:lineRule="exact"/>
        <w:ind w:firstLine="565" w:firstLineChars="202"/>
        <w:rPr>
          <w:rFonts w:ascii="宋体" w:hAnsi="宋体"/>
          <w:color w:val="000000"/>
          <w:sz w:val="28"/>
          <w:szCs w:val="28"/>
        </w:rPr>
      </w:pPr>
    </w:p>
    <w:p w14:paraId="07703101">
      <w:pPr>
        <w:spacing w:line="500" w:lineRule="exact"/>
        <w:rPr>
          <w:rFonts w:ascii="宋体" w:hAnsi="宋体"/>
          <w:color w:val="000000"/>
          <w:sz w:val="28"/>
          <w:szCs w:val="28"/>
        </w:rPr>
      </w:pPr>
      <w:r>
        <w:rPr>
          <w:rFonts w:hint="eastAsia" w:ascii="宋体" w:hAnsi="宋体"/>
          <w:color w:val="000000"/>
          <w:sz w:val="28"/>
          <w:szCs w:val="28"/>
        </w:rPr>
        <w:t>甲方：                 代表：</w:t>
      </w:r>
    </w:p>
    <w:p w14:paraId="482F4637">
      <w:pPr>
        <w:spacing w:line="500" w:lineRule="exact"/>
        <w:rPr>
          <w:rFonts w:ascii="宋体" w:hAnsi="宋体"/>
          <w:color w:val="000000"/>
          <w:sz w:val="28"/>
          <w:szCs w:val="28"/>
        </w:rPr>
      </w:pPr>
    </w:p>
    <w:p w14:paraId="34753030">
      <w:pPr>
        <w:spacing w:line="500" w:lineRule="exact"/>
        <w:rPr>
          <w:rFonts w:ascii="宋体" w:hAnsi="宋体"/>
          <w:color w:val="000000"/>
          <w:sz w:val="28"/>
          <w:szCs w:val="28"/>
        </w:rPr>
      </w:pPr>
      <w:r>
        <w:rPr>
          <w:rFonts w:hint="eastAsia" w:ascii="宋体" w:hAnsi="宋体"/>
          <w:color w:val="000000"/>
          <w:sz w:val="28"/>
          <w:szCs w:val="28"/>
        </w:rPr>
        <w:t>乙方：                 代表：</w:t>
      </w:r>
    </w:p>
    <w:p w14:paraId="1B278C98">
      <w:pPr>
        <w:spacing w:line="500" w:lineRule="exact"/>
        <w:rPr>
          <w:rFonts w:ascii="宋体" w:hAnsi="宋体"/>
          <w:color w:val="000000"/>
          <w:sz w:val="28"/>
          <w:szCs w:val="28"/>
        </w:rPr>
      </w:pPr>
      <w:r>
        <w:rPr>
          <w:rFonts w:hint="eastAsia" w:ascii="宋体" w:hAnsi="宋体"/>
          <w:color w:val="000000"/>
          <w:sz w:val="28"/>
          <w:szCs w:val="28"/>
        </w:rPr>
        <w:t xml:space="preserve"> </w:t>
      </w:r>
    </w:p>
    <w:p w14:paraId="7AAB12FF">
      <w:pPr>
        <w:spacing w:line="500" w:lineRule="exact"/>
        <w:ind w:firstLine="4480" w:firstLineChars="1600"/>
        <w:rPr>
          <w:rFonts w:ascii="宋体" w:hAnsi="宋体"/>
          <w:color w:val="000000"/>
          <w:sz w:val="28"/>
          <w:szCs w:val="28"/>
        </w:rPr>
      </w:pPr>
      <w:r>
        <w:rPr>
          <w:rFonts w:hint="eastAsia" w:ascii="宋体" w:hAnsi="宋体"/>
          <w:color w:val="000000"/>
          <w:sz w:val="28"/>
          <w:szCs w:val="28"/>
        </w:rPr>
        <w:t>签署时间：2025年  月  日</w:t>
      </w:r>
    </w:p>
    <w:p w14:paraId="1EE8970B">
      <w:pPr>
        <w:widowControl/>
        <w:jc w:val="left"/>
        <w:rPr>
          <w:rFonts w:ascii="幼圆" w:hAnsi="宋体" w:eastAsia="幼圆"/>
          <w:b/>
          <w:color w:val="000000"/>
          <w:sz w:val="28"/>
          <w:szCs w:val="28"/>
        </w:rPr>
        <w:sectPr>
          <w:pgSz w:w="11906" w:h="16838"/>
          <w:pgMar w:top="1701" w:right="1134" w:bottom="1701" w:left="1701" w:header="851" w:footer="992" w:gutter="0"/>
          <w:cols w:space="720" w:num="1"/>
          <w:docGrid w:type="lines" w:linePitch="312" w:charSpace="0"/>
        </w:sectPr>
      </w:pPr>
    </w:p>
    <w:p w14:paraId="0367BD63">
      <w:pPr>
        <w:spacing w:line="580" w:lineRule="exact"/>
        <w:rPr>
          <w:rFonts w:ascii="幼圆" w:hAnsi="宋体" w:eastAsia="幼圆"/>
          <w:b/>
          <w:color w:val="000000"/>
          <w:sz w:val="28"/>
          <w:szCs w:val="28"/>
        </w:rPr>
      </w:pPr>
      <w:r>
        <w:rPr>
          <w:rFonts w:hint="eastAsia" w:ascii="幼圆" w:hAnsi="宋体" w:eastAsia="幼圆"/>
          <w:b/>
          <w:color w:val="000000"/>
          <w:sz w:val="28"/>
          <w:szCs w:val="28"/>
        </w:rPr>
        <w:t xml:space="preserve">附件2：招租土地情况一览表 </w:t>
      </w:r>
    </w:p>
    <w:tbl>
      <w:tblPr>
        <w:tblStyle w:val="19"/>
        <w:tblW w:w="13907" w:type="dxa"/>
        <w:tblInd w:w="93" w:type="dxa"/>
        <w:tblLayout w:type="fixed"/>
        <w:tblCellMar>
          <w:top w:w="0" w:type="dxa"/>
          <w:left w:w="108" w:type="dxa"/>
          <w:bottom w:w="0" w:type="dxa"/>
          <w:right w:w="108" w:type="dxa"/>
        </w:tblCellMar>
      </w:tblPr>
      <w:tblGrid>
        <w:gridCol w:w="1149"/>
        <w:gridCol w:w="1305"/>
        <w:gridCol w:w="1051"/>
        <w:gridCol w:w="722"/>
        <w:gridCol w:w="2025"/>
        <w:gridCol w:w="1209"/>
        <w:gridCol w:w="1147"/>
        <w:gridCol w:w="1472"/>
        <w:gridCol w:w="2126"/>
        <w:gridCol w:w="1701"/>
      </w:tblGrid>
      <w:tr w14:paraId="58AE0B71">
        <w:tblPrEx>
          <w:tblCellMar>
            <w:top w:w="0" w:type="dxa"/>
            <w:left w:w="108" w:type="dxa"/>
            <w:bottom w:w="0" w:type="dxa"/>
            <w:right w:w="108" w:type="dxa"/>
          </w:tblCellMar>
        </w:tblPrEx>
        <w:trPr>
          <w:trHeight w:val="1340" w:hRule="atLeast"/>
        </w:trPr>
        <w:tc>
          <w:tcPr>
            <w:tcW w:w="1149" w:type="dxa"/>
            <w:tcBorders>
              <w:top w:val="single" w:color="000000" w:sz="4" w:space="0"/>
              <w:left w:val="single" w:color="000000" w:sz="4" w:space="0"/>
              <w:bottom w:val="single" w:color="auto" w:sz="4" w:space="0"/>
              <w:right w:val="single" w:color="000000" w:sz="4" w:space="0"/>
            </w:tcBorders>
            <w:vAlign w:val="center"/>
          </w:tcPr>
          <w:p w14:paraId="6C9F6E5D">
            <w:pPr>
              <w:widowControl/>
              <w:jc w:val="center"/>
              <w:textAlignment w:val="center"/>
              <w:rPr>
                <w:rFonts w:ascii="宋体" w:hAnsi="宋体" w:cs="宋体"/>
                <w:b/>
                <w:bCs/>
                <w:color w:val="000000"/>
                <w:sz w:val="20"/>
                <w:szCs w:val="20"/>
              </w:rPr>
            </w:pPr>
            <w:r>
              <w:rPr>
                <w:rFonts w:hint="eastAsia" w:ascii="宋体" w:hAnsi="宋体" w:cs="宋体"/>
                <w:b/>
                <w:bCs/>
                <w:color w:val="000000"/>
                <w:kern w:val="0"/>
                <w:sz w:val="20"/>
                <w:szCs w:val="20"/>
              </w:rPr>
              <w:t>招租池塘标段号</w:t>
            </w:r>
          </w:p>
        </w:tc>
        <w:tc>
          <w:tcPr>
            <w:tcW w:w="1305" w:type="dxa"/>
            <w:tcBorders>
              <w:top w:val="single" w:color="000000" w:sz="4" w:space="0"/>
              <w:left w:val="single" w:color="000000" w:sz="4" w:space="0"/>
              <w:bottom w:val="single" w:color="auto" w:sz="4" w:space="0"/>
              <w:right w:val="single" w:color="000000" w:sz="4" w:space="0"/>
            </w:tcBorders>
            <w:vAlign w:val="center"/>
          </w:tcPr>
          <w:p w14:paraId="4C7D64AD">
            <w:pPr>
              <w:widowControl/>
              <w:jc w:val="center"/>
              <w:textAlignment w:val="center"/>
              <w:rPr>
                <w:rFonts w:ascii="宋体" w:hAnsi="宋体" w:cs="宋体"/>
                <w:b/>
                <w:bCs/>
                <w:color w:val="000000"/>
                <w:sz w:val="20"/>
                <w:szCs w:val="20"/>
              </w:rPr>
            </w:pPr>
            <w:r>
              <w:rPr>
                <w:rFonts w:hint="eastAsia" w:ascii="宋体" w:hAnsi="宋体" w:cs="宋体"/>
                <w:b/>
                <w:bCs/>
                <w:color w:val="000000"/>
                <w:kern w:val="0"/>
                <w:sz w:val="20"/>
                <w:szCs w:val="20"/>
              </w:rPr>
              <w:t>池塘位置</w:t>
            </w:r>
          </w:p>
        </w:tc>
        <w:tc>
          <w:tcPr>
            <w:tcW w:w="1051" w:type="dxa"/>
            <w:tcBorders>
              <w:top w:val="single" w:color="000000" w:sz="4" w:space="0"/>
              <w:left w:val="single" w:color="000000" w:sz="4" w:space="0"/>
              <w:bottom w:val="single" w:color="auto" w:sz="4" w:space="0"/>
              <w:right w:val="single" w:color="000000" w:sz="4" w:space="0"/>
            </w:tcBorders>
            <w:vAlign w:val="center"/>
          </w:tcPr>
          <w:p w14:paraId="63C2D5CC">
            <w:pPr>
              <w:widowControl/>
              <w:jc w:val="center"/>
              <w:textAlignment w:val="center"/>
              <w:rPr>
                <w:rFonts w:ascii="宋体" w:hAnsi="宋体" w:cs="宋体"/>
                <w:b/>
                <w:bCs/>
                <w:color w:val="000000"/>
                <w:sz w:val="20"/>
                <w:szCs w:val="20"/>
              </w:rPr>
            </w:pPr>
            <w:r>
              <w:rPr>
                <w:rFonts w:hint="eastAsia" w:ascii="宋体" w:hAnsi="宋体" w:cs="宋体"/>
                <w:b/>
                <w:bCs/>
                <w:color w:val="000000"/>
                <w:kern w:val="0"/>
                <w:sz w:val="20"/>
                <w:szCs w:val="20"/>
              </w:rPr>
              <w:t>租赁面积（亩）</w:t>
            </w:r>
          </w:p>
        </w:tc>
        <w:tc>
          <w:tcPr>
            <w:tcW w:w="722" w:type="dxa"/>
            <w:tcBorders>
              <w:top w:val="single" w:color="000000" w:sz="4" w:space="0"/>
              <w:left w:val="single" w:color="000000" w:sz="4" w:space="0"/>
              <w:bottom w:val="single" w:color="auto" w:sz="4" w:space="0"/>
              <w:right w:val="single" w:color="000000" w:sz="4" w:space="0"/>
            </w:tcBorders>
            <w:vAlign w:val="center"/>
          </w:tcPr>
          <w:p w14:paraId="0F815714">
            <w:pPr>
              <w:widowControl/>
              <w:jc w:val="center"/>
              <w:textAlignment w:val="center"/>
              <w:rPr>
                <w:rFonts w:ascii="宋体" w:hAnsi="宋体" w:cs="宋体"/>
                <w:b/>
                <w:bCs/>
                <w:color w:val="000000"/>
                <w:sz w:val="20"/>
                <w:szCs w:val="20"/>
              </w:rPr>
            </w:pPr>
            <w:r>
              <w:rPr>
                <w:rFonts w:hint="eastAsia" w:ascii="宋体" w:hAnsi="宋体" w:cs="宋体"/>
                <w:b/>
                <w:bCs/>
                <w:color w:val="000000"/>
                <w:kern w:val="0"/>
                <w:sz w:val="20"/>
                <w:szCs w:val="20"/>
              </w:rPr>
              <w:t>养殖类型</w:t>
            </w:r>
          </w:p>
        </w:tc>
        <w:tc>
          <w:tcPr>
            <w:tcW w:w="2025" w:type="dxa"/>
            <w:tcBorders>
              <w:top w:val="single" w:color="000000" w:sz="4" w:space="0"/>
              <w:left w:val="single" w:color="000000" w:sz="4" w:space="0"/>
              <w:bottom w:val="single" w:color="auto" w:sz="4" w:space="0"/>
              <w:right w:val="single" w:color="000000" w:sz="4" w:space="0"/>
            </w:tcBorders>
            <w:vAlign w:val="center"/>
          </w:tcPr>
          <w:p w14:paraId="1DC955BD">
            <w:pPr>
              <w:widowControl/>
              <w:jc w:val="center"/>
              <w:textAlignment w:val="center"/>
              <w:rPr>
                <w:rFonts w:ascii="宋体" w:hAnsi="宋体" w:cs="宋体"/>
                <w:b/>
                <w:bCs/>
                <w:color w:val="000000"/>
                <w:kern w:val="0"/>
                <w:sz w:val="20"/>
                <w:szCs w:val="20"/>
              </w:rPr>
            </w:pPr>
            <w:r>
              <w:rPr>
                <w:rFonts w:hint="eastAsia" w:ascii="宋体" w:hAnsi="宋体" w:cs="宋体"/>
                <w:b/>
                <w:bCs/>
                <w:color w:val="000000"/>
                <w:kern w:val="0"/>
                <w:sz w:val="20"/>
                <w:szCs w:val="20"/>
              </w:rPr>
              <w:t>租赁到期时间</w:t>
            </w:r>
          </w:p>
          <w:p w14:paraId="60184FC3">
            <w:pPr>
              <w:widowControl/>
              <w:jc w:val="center"/>
              <w:textAlignment w:val="center"/>
              <w:rPr>
                <w:rFonts w:ascii="宋体" w:hAnsi="宋体" w:cs="宋体"/>
                <w:b/>
                <w:bCs/>
                <w:color w:val="000000"/>
                <w:sz w:val="20"/>
                <w:szCs w:val="20"/>
              </w:rPr>
            </w:pPr>
            <w:r>
              <w:rPr>
                <w:rFonts w:hint="eastAsia" w:ascii="宋体" w:hAnsi="宋体" w:cs="宋体"/>
                <w:b/>
                <w:bCs/>
                <w:color w:val="000000"/>
                <w:kern w:val="0"/>
                <w:sz w:val="20"/>
                <w:szCs w:val="20"/>
              </w:rPr>
              <w:t>（招租年限）</w:t>
            </w:r>
          </w:p>
        </w:tc>
        <w:tc>
          <w:tcPr>
            <w:tcW w:w="1209" w:type="dxa"/>
            <w:tcBorders>
              <w:top w:val="single" w:color="000000" w:sz="4" w:space="0"/>
              <w:left w:val="single" w:color="000000" w:sz="4" w:space="0"/>
              <w:bottom w:val="single" w:color="auto" w:sz="4" w:space="0"/>
              <w:right w:val="single" w:color="000000" w:sz="4" w:space="0"/>
            </w:tcBorders>
            <w:vAlign w:val="center"/>
          </w:tcPr>
          <w:p w14:paraId="1E830787">
            <w:pPr>
              <w:widowControl/>
              <w:jc w:val="center"/>
              <w:textAlignment w:val="center"/>
              <w:rPr>
                <w:rFonts w:ascii="宋体" w:hAnsi="宋体" w:cs="宋体"/>
                <w:b/>
                <w:bCs/>
                <w:color w:val="000000"/>
                <w:sz w:val="20"/>
                <w:szCs w:val="20"/>
              </w:rPr>
            </w:pPr>
            <w:r>
              <w:rPr>
                <w:rFonts w:hint="eastAsia" w:ascii="宋体" w:hAnsi="宋体" w:cs="宋体"/>
                <w:b/>
                <w:bCs/>
                <w:color w:val="000000"/>
                <w:kern w:val="0"/>
                <w:sz w:val="20"/>
                <w:szCs w:val="20"/>
              </w:rPr>
              <w:t>招租底价（每亩每年</w:t>
            </w:r>
            <w:bookmarkStart w:id="1" w:name="OLE_LINK2"/>
            <w:r>
              <w:rPr>
                <w:rFonts w:hint="eastAsia" w:ascii="宋体" w:hAnsi="宋体" w:cs="宋体"/>
                <w:b/>
                <w:bCs/>
                <w:color w:val="000000"/>
                <w:kern w:val="0"/>
                <w:sz w:val="20"/>
                <w:szCs w:val="20"/>
              </w:rPr>
              <w:t>人民币元）</w:t>
            </w:r>
            <w:bookmarkEnd w:id="1"/>
          </w:p>
        </w:tc>
        <w:tc>
          <w:tcPr>
            <w:tcW w:w="1147" w:type="dxa"/>
            <w:tcBorders>
              <w:top w:val="single" w:color="000000" w:sz="4" w:space="0"/>
              <w:left w:val="single" w:color="000000" w:sz="4" w:space="0"/>
              <w:bottom w:val="single" w:color="auto" w:sz="4" w:space="0"/>
              <w:right w:val="single" w:color="000000" w:sz="4" w:space="0"/>
            </w:tcBorders>
            <w:vAlign w:val="center"/>
          </w:tcPr>
          <w:p w14:paraId="5309F57D">
            <w:pPr>
              <w:widowControl/>
              <w:jc w:val="center"/>
              <w:textAlignment w:val="center"/>
              <w:rPr>
                <w:rFonts w:ascii="宋体" w:hAnsi="宋体" w:cs="宋体"/>
                <w:b/>
                <w:bCs/>
                <w:color w:val="000000"/>
                <w:kern w:val="0"/>
                <w:sz w:val="20"/>
                <w:szCs w:val="20"/>
              </w:rPr>
            </w:pPr>
            <w:r>
              <w:rPr>
                <w:rFonts w:hint="eastAsia" w:ascii="宋体" w:hAnsi="宋体" w:cs="宋体"/>
                <w:b/>
                <w:bCs/>
                <w:color w:val="000000"/>
                <w:kern w:val="0"/>
                <w:sz w:val="20"/>
                <w:szCs w:val="20"/>
              </w:rPr>
              <w:t>预付租金(元）</w:t>
            </w:r>
          </w:p>
        </w:tc>
        <w:tc>
          <w:tcPr>
            <w:tcW w:w="1472" w:type="dxa"/>
            <w:tcBorders>
              <w:top w:val="single" w:color="000000" w:sz="4" w:space="0"/>
              <w:left w:val="single" w:color="000000" w:sz="4" w:space="0"/>
              <w:bottom w:val="single" w:color="auto" w:sz="4" w:space="0"/>
              <w:right w:val="single" w:color="000000" w:sz="4" w:space="0"/>
            </w:tcBorders>
            <w:vAlign w:val="center"/>
          </w:tcPr>
          <w:p w14:paraId="1BA1126A">
            <w:pPr>
              <w:widowControl/>
              <w:jc w:val="center"/>
              <w:textAlignment w:val="center"/>
              <w:rPr>
                <w:rFonts w:ascii="宋体" w:hAnsi="宋体" w:cs="宋体"/>
                <w:b/>
                <w:bCs/>
                <w:color w:val="000000"/>
                <w:sz w:val="20"/>
                <w:szCs w:val="20"/>
              </w:rPr>
            </w:pPr>
            <w:r>
              <w:rPr>
                <w:rFonts w:hint="eastAsia" w:ascii="宋体" w:hAnsi="宋体" w:cs="宋体"/>
                <w:b/>
                <w:bCs/>
                <w:color w:val="000000"/>
                <w:kern w:val="0"/>
                <w:sz w:val="20"/>
                <w:szCs w:val="20"/>
              </w:rPr>
              <w:t>竞租保证金（人民币万元）</w:t>
            </w:r>
          </w:p>
        </w:tc>
        <w:tc>
          <w:tcPr>
            <w:tcW w:w="2126" w:type="dxa"/>
            <w:tcBorders>
              <w:top w:val="single" w:color="000000" w:sz="4" w:space="0"/>
              <w:left w:val="single" w:color="000000" w:sz="4" w:space="0"/>
              <w:bottom w:val="single" w:color="auto" w:sz="4" w:space="0"/>
              <w:right w:val="single" w:color="000000" w:sz="4" w:space="0"/>
            </w:tcBorders>
            <w:vAlign w:val="center"/>
          </w:tcPr>
          <w:p w14:paraId="52237871">
            <w:pPr>
              <w:widowControl/>
              <w:jc w:val="center"/>
              <w:textAlignment w:val="center"/>
              <w:rPr>
                <w:rFonts w:ascii="宋体" w:hAnsi="宋体" w:cs="宋体"/>
                <w:b/>
                <w:bCs/>
                <w:color w:val="000000"/>
                <w:sz w:val="20"/>
                <w:szCs w:val="20"/>
              </w:rPr>
            </w:pPr>
            <w:r>
              <w:rPr>
                <w:rFonts w:hint="eastAsia" w:ascii="宋体" w:hAnsi="宋体" w:cs="宋体"/>
                <w:b/>
                <w:bCs/>
                <w:color w:val="000000"/>
                <w:kern w:val="0"/>
                <w:sz w:val="20"/>
                <w:szCs w:val="20"/>
              </w:rPr>
              <w:t>竞租人的具体要求</w:t>
            </w:r>
          </w:p>
        </w:tc>
        <w:tc>
          <w:tcPr>
            <w:tcW w:w="1701" w:type="dxa"/>
            <w:tcBorders>
              <w:top w:val="single" w:color="000000" w:sz="4" w:space="0"/>
              <w:left w:val="single" w:color="000000" w:sz="4" w:space="0"/>
              <w:bottom w:val="single" w:color="auto" w:sz="4" w:space="0"/>
              <w:right w:val="single" w:color="000000" w:sz="4" w:space="0"/>
            </w:tcBorders>
            <w:vAlign w:val="center"/>
          </w:tcPr>
          <w:p w14:paraId="7B6E7A13">
            <w:pPr>
              <w:widowControl/>
              <w:jc w:val="center"/>
              <w:textAlignment w:val="center"/>
              <w:rPr>
                <w:rFonts w:ascii="宋体" w:hAnsi="宋体" w:cs="宋体"/>
                <w:b/>
                <w:bCs/>
                <w:color w:val="000000"/>
                <w:sz w:val="20"/>
                <w:szCs w:val="20"/>
              </w:rPr>
            </w:pPr>
            <w:r>
              <w:rPr>
                <w:rFonts w:hint="eastAsia" w:ascii="宋体" w:hAnsi="宋体" w:cs="宋体"/>
                <w:b/>
                <w:bCs/>
                <w:color w:val="000000"/>
                <w:kern w:val="0"/>
                <w:sz w:val="20"/>
                <w:szCs w:val="20"/>
              </w:rPr>
              <w:t>备注</w:t>
            </w:r>
          </w:p>
        </w:tc>
      </w:tr>
      <w:tr w14:paraId="1A1EF59C">
        <w:tblPrEx>
          <w:tblCellMar>
            <w:top w:w="0" w:type="dxa"/>
            <w:left w:w="108" w:type="dxa"/>
            <w:bottom w:w="0" w:type="dxa"/>
            <w:right w:w="108" w:type="dxa"/>
          </w:tblCellMar>
        </w:tblPrEx>
        <w:trPr>
          <w:trHeight w:val="1225" w:hRule="atLeast"/>
        </w:trPr>
        <w:tc>
          <w:tcPr>
            <w:tcW w:w="1149" w:type="dxa"/>
            <w:tcBorders>
              <w:top w:val="single" w:color="auto" w:sz="4" w:space="0"/>
              <w:left w:val="single" w:color="auto" w:sz="4" w:space="0"/>
              <w:bottom w:val="single" w:color="auto" w:sz="4" w:space="0"/>
              <w:right w:val="single" w:color="auto" w:sz="4" w:space="0"/>
            </w:tcBorders>
            <w:vAlign w:val="center"/>
          </w:tcPr>
          <w:p w14:paraId="49B42C9E">
            <w:pPr>
              <w:widowControl/>
              <w:jc w:val="center"/>
              <w:textAlignment w:val="center"/>
              <w:rPr>
                <w:rFonts w:ascii="黑体" w:hAnsi="宋体" w:eastAsia="黑体" w:cs="黑体"/>
                <w:color w:val="000000"/>
                <w:sz w:val="20"/>
                <w:szCs w:val="20"/>
              </w:rPr>
            </w:pPr>
            <w:r>
              <w:rPr>
                <w:rFonts w:hint="eastAsia" w:ascii="黑体" w:hAnsi="宋体" w:eastAsia="黑体" w:cs="黑体"/>
                <w:color w:val="000000"/>
                <w:sz w:val="20"/>
                <w:szCs w:val="20"/>
              </w:rPr>
              <w:t>1</w:t>
            </w:r>
          </w:p>
        </w:tc>
        <w:tc>
          <w:tcPr>
            <w:tcW w:w="1305" w:type="dxa"/>
            <w:tcBorders>
              <w:top w:val="single" w:color="auto" w:sz="4" w:space="0"/>
              <w:left w:val="single" w:color="auto" w:sz="4" w:space="0"/>
              <w:bottom w:val="single" w:color="auto" w:sz="4" w:space="0"/>
              <w:right w:val="single" w:color="auto" w:sz="4" w:space="0"/>
            </w:tcBorders>
            <w:vAlign w:val="center"/>
          </w:tcPr>
          <w:p w14:paraId="2A125BD0">
            <w:pPr>
              <w:widowControl/>
              <w:jc w:val="center"/>
              <w:textAlignment w:val="center"/>
              <w:rPr>
                <w:rFonts w:ascii="宋体" w:hAnsi="宋体" w:cs="宋体"/>
                <w:color w:val="000000"/>
                <w:sz w:val="20"/>
                <w:szCs w:val="20"/>
              </w:rPr>
            </w:pPr>
            <w:r>
              <w:rPr>
                <w:rFonts w:hint="eastAsia" w:ascii="宋体" w:hAnsi="宋体" w:cs="宋体"/>
                <w:color w:val="000000"/>
                <w:sz w:val="20"/>
                <w:szCs w:val="20"/>
              </w:rPr>
              <w:t>水厂南地块</w:t>
            </w:r>
          </w:p>
        </w:tc>
        <w:tc>
          <w:tcPr>
            <w:tcW w:w="1051" w:type="dxa"/>
            <w:tcBorders>
              <w:top w:val="single" w:color="auto" w:sz="4" w:space="0"/>
              <w:left w:val="single" w:color="auto" w:sz="4" w:space="0"/>
              <w:bottom w:val="single" w:color="auto" w:sz="4" w:space="0"/>
              <w:right w:val="single" w:color="auto" w:sz="4" w:space="0"/>
            </w:tcBorders>
            <w:vAlign w:val="center"/>
          </w:tcPr>
          <w:p w14:paraId="16656451">
            <w:pPr>
              <w:widowControl/>
              <w:jc w:val="center"/>
              <w:textAlignment w:val="center"/>
              <w:rPr>
                <w:rFonts w:ascii="宋体" w:hAnsi="宋体" w:cs="宋体"/>
                <w:color w:val="000000"/>
                <w:sz w:val="20"/>
                <w:szCs w:val="20"/>
              </w:rPr>
            </w:pPr>
            <w:r>
              <w:rPr>
                <w:rFonts w:hint="eastAsia" w:ascii="宋体" w:hAnsi="宋体" w:cs="宋体"/>
                <w:color w:val="000000"/>
                <w:sz w:val="20"/>
                <w:szCs w:val="20"/>
              </w:rPr>
              <w:t>1905</w:t>
            </w:r>
          </w:p>
        </w:tc>
        <w:tc>
          <w:tcPr>
            <w:tcW w:w="722" w:type="dxa"/>
            <w:tcBorders>
              <w:top w:val="single" w:color="auto" w:sz="4" w:space="0"/>
              <w:left w:val="single" w:color="auto" w:sz="4" w:space="0"/>
              <w:bottom w:val="single" w:color="auto" w:sz="4" w:space="0"/>
              <w:right w:val="single" w:color="auto" w:sz="4" w:space="0"/>
            </w:tcBorders>
            <w:vAlign w:val="center"/>
          </w:tcPr>
          <w:p w14:paraId="0F8A2688">
            <w:pPr>
              <w:widowControl/>
              <w:jc w:val="center"/>
              <w:textAlignment w:val="center"/>
              <w:rPr>
                <w:rFonts w:ascii="宋体" w:hAnsi="宋体" w:cs="宋体"/>
                <w:color w:val="000000"/>
                <w:sz w:val="20"/>
                <w:szCs w:val="20"/>
              </w:rPr>
            </w:pPr>
            <w:r>
              <w:rPr>
                <w:rFonts w:hint="eastAsia" w:ascii="宋体" w:hAnsi="宋体" w:cs="宋体"/>
                <w:color w:val="000000"/>
                <w:sz w:val="20"/>
                <w:szCs w:val="20"/>
              </w:rPr>
              <w:t>淡水</w:t>
            </w:r>
          </w:p>
        </w:tc>
        <w:tc>
          <w:tcPr>
            <w:tcW w:w="2025" w:type="dxa"/>
            <w:tcBorders>
              <w:top w:val="single" w:color="auto" w:sz="4" w:space="0"/>
              <w:left w:val="single" w:color="auto" w:sz="4" w:space="0"/>
              <w:bottom w:val="single" w:color="auto" w:sz="4" w:space="0"/>
              <w:right w:val="single" w:color="auto" w:sz="4" w:space="0"/>
            </w:tcBorders>
            <w:vAlign w:val="center"/>
          </w:tcPr>
          <w:p w14:paraId="546C4B46">
            <w:pPr>
              <w:widowControl/>
              <w:jc w:val="center"/>
              <w:textAlignment w:val="center"/>
              <w:rPr>
                <w:rFonts w:ascii="宋体" w:hAnsi="宋体" w:cs="宋体"/>
                <w:color w:val="000000"/>
                <w:sz w:val="20"/>
                <w:szCs w:val="20"/>
              </w:rPr>
            </w:pPr>
            <w:r>
              <w:rPr>
                <w:rFonts w:hint="eastAsia" w:ascii="宋体" w:hAnsi="宋体" w:cs="宋体"/>
                <w:color w:val="000000"/>
                <w:sz w:val="20"/>
                <w:szCs w:val="20"/>
              </w:rPr>
              <w:t>2025年1月1日至2025年12月31日</w:t>
            </w:r>
          </w:p>
        </w:tc>
        <w:tc>
          <w:tcPr>
            <w:tcW w:w="1209" w:type="dxa"/>
            <w:tcBorders>
              <w:top w:val="single" w:color="auto" w:sz="4" w:space="0"/>
              <w:left w:val="single" w:color="auto" w:sz="4" w:space="0"/>
              <w:bottom w:val="single" w:color="auto" w:sz="4" w:space="0"/>
              <w:right w:val="single" w:color="auto" w:sz="4" w:space="0"/>
            </w:tcBorders>
            <w:vAlign w:val="center"/>
          </w:tcPr>
          <w:p w14:paraId="713EB2FC">
            <w:pPr>
              <w:widowControl/>
              <w:jc w:val="center"/>
              <w:textAlignment w:val="center"/>
              <w:rPr>
                <w:rFonts w:ascii="宋体" w:hAnsi="宋体" w:cs="宋体"/>
                <w:color w:val="000000"/>
                <w:sz w:val="20"/>
                <w:szCs w:val="20"/>
              </w:rPr>
            </w:pPr>
            <w:r>
              <w:rPr>
                <w:rFonts w:hint="eastAsia" w:ascii="宋体" w:hAnsi="宋体" w:cs="宋体"/>
                <w:color w:val="000000"/>
                <w:sz w:val="20"/>
                <w:szCs w:val="20"/>
              </w:rPr>
              <w:t>290</w:t>
            </w:r>
          </w:p>
        </w:tc>
        <w:tc>
          <w:tcPr>
            <w:tcW w:w="1147" w:type="dxa"/>
            <w:tcBorders>
              <w:top w:val="single" w:color="auto" w:sz="4" w:space="0"/>
              <w:left w:val="single" w:color="auto" w:sz="4" w:space="0"/>
              <w:bottom w:val="single" w:color="auto" w:sz="4" w:space="0"/>
              <w:right w:val="single" w:color="auto" w:sz="4" w:space="0"/>
            </w:tcBorders>
            <w:vAlign w:val="center"/>
          </w:tcPr>
          <w:p w14:paraId="65A7677B">
            <w:pPr>
              <w:widowControl/>
              <w:jc w:val="center"/>
              <w:textAlignment w:val="center"/>
              <w:rPr>
                <w:rFonts w:ascii="宋体" w:hAnsi="宋体" w:cs="宋体"/>
                <w:color w:val="000000"/>
                <w:sz w:val="20"/>
                <w:szCs w:val="20"/>
              </w:rPr>
            </w:pPr>
            <w:r>
              <w:rPr>
                <w:rFonts w:hint="eastAsia" w:ascii="宋体" w:hAnsi="宋体" w:cs="宋体"/>
                <w:color w:val="000000"/>
                <w:sz w:val="20"/>
                <w:szCs w:val="20"/>
              </w:rPr>
              <w:t>552450</w:t>
            </w:r>
          </w:p>
        </w:tc>
        <w:tc>
          <w:tcPr>
            <w:tcW w:w="1472" w:type="dxa"/>
            <w:tcBorders>
              <w:top w:val="single" w:color="auto" w:sz="4" w:space="0"/>
              <w:left w:val="single" w:color="auto" w:sz="4" w:space="0"/>
              <w:bottom w:val="single" w:color="auto" w:sz="4" w:space="0"/>
              <w:right w:val="single" w:color="auto" w:sz="4" w:space="0"/>
            </w:tcBorders>
            <w:vAlign w:val="center"/>
          </w:tcPr>
          <w:p w14:paraId="618D4864">
            <w:pPr>
              <w:widowControl/>
              <w:jc w:val="center"/>
              <w:textAlignment w:val="center"/>
              <w:rPr>
                <w:rFonts w:ascii="宋体" w:hAnsi="宋体" w:cs="宋体"/>
                <w:color w:val="000000"/>
                <w:sz w:val="20"/>
                <w:szCs w:val="20"/>
              </w:rPr>
            </w:pPr>
            <w:r>
              <w:rPr>
                <w:rFonts w:hint="eastAsia" w:ascii="宋体" w:hAnsi="宋体" w:cs="宋体"/>
                <w:color w:val="000000"/>
                <w:sz w:val="20"/>
                <w:szCs w:val="20"/>
              </w:rPr>
              <w:t>5.5</w:t>
            </w:r>
          </w:p>
        </w:tc>
        <w:tc>
          <w:tcPr>
            <w:tcW w:w="2126" w:type="dxa"/>
            <w:tcBorders>
              <w:top w:val="single" w:color="auto" w:sz="4" w:space="0"/>
              <w:left w:val="single" w:color="auto" w:sz="4" w:space="0"/>
              <w:bottom w:val="single" w:color="auto" w:sz="4" w:space="0"/>
              <w:right w:val="single" w:color="auto" w:sz="4" w:space="0"/>
            </w:tcBorders>
            <w:vAlign w:val="center"/>
          </w:tcPr>
          <w:p w14:paraId="63A32438">
            <w:pPr>
              <w:widowControl/>
              <w:jc w:val="left"/>
              <w:textAlignment w:val="center"/>
              <w:rPr>
                <w:rFonts w:ascii="宋体" w:hAnsi="宋体" w:cs="宋体"/>
                <w:color w:val="000000"/>
                <w:sz w:val="20"/>
                <w:szCs w:val="20"/>
              </w:rPr>
            </w:pPr>
            <w:r>
              <w:rPr>
                <w:rFonts w:hint="eastAsia" w:ascii="宋体" w:hAnsi="宋体" w:cs="宋体"/>
                <w:color w:val="000000"/>
                <w:sz w:val="20"/>
                <w:szCs w:val="20"/>
              </w:rPr>
              <w:t>央企或其占股超过50%的合资公司、地方国企或其占股超过50%的合资公司</w:t>
            </w:r>
          </w:p>
        </w:tc>
        <w:tc>
          <w:tcPr>
            <w:tcW w:w="1701" w:type="dxa"/>
            <w:tcBorders>
              <w:top w:val="single" w:color="auto" w:sz="4" w:space="0"/>
              <w:left w:val="single" w:color="auto" w:sz="4" w:space="0"/>
              <w:bottom w:val="single" w:color="auto" w:sz="4" w:space="0"/>
              <w:right w:val="single" w:color="auto" w:sz="4" w:space="0"/>
            </w:tcBorders>
            <w:vAlign w:val="center"/>
          </w:tcPr>
          <w:p w14:paraId="69C46196">
            <w:pPr>
              <w:widowControl/>
              <w:jc w:val="left"/>
              <w:textAlignment w:val="center"/>
              <w:rPr>
                <w:rFonts w:ascii="宋体" w:hAnsi="宋体" w:cs="宋体"/>
                <w:color w:val="000000"/>
                <w:sz w:val="20"/>
                <w:szCs w:val="20"/>
              </w:rPr>
            </w:pPr>
            <w:r>
              <w:rPr>
                <w:rFonts w:hint="eastAsia" w:ascii="宋体" w:hAnsi="宋体" w:cs="宋体"/>
                <w:b/>
                <w:bCs/>
                <w:color w:val="000000"/>
                <w:sz w:val="20"/>
                <w:szCs w:val="20"/>
              </w:rPr>
              <w:t>合同一年一签订</w:t>
            </w:r>
          </w:p>
        </w:tc>
      </w:tr>
      <w:tr w14:paraId="4F43777E">
        <w:tblPrEx>
          <w:tblCellMar>
            <w:top w:w="0" w:type="dxa"/>
            <w:left w:w="108" w:type="dxa"/>
            <w:bottom w:w="0" w:type="dxa"/>
            <w:right w:w="108" w:type="dxa"/>
          </w:tblCellMar>
        </w:tblPrEx>
        <w:trPr>
          <w:trHeight w:val="840" w:hRule="atLeast"/>
        </w:trPr>
        <w:tc>
          <w:tcPr>
            <w:tcW w:w="1149" w:type="dxa"/>
            <w:tcBorders>
              <w:top w:val="single" w:color="auto" w:sz="4" w:space="0"/>
              <w:left w:val="single" w:color="auto" w:sz="4" w:space="0"/>
              <w:bottom w:val="single" w:color="auto" w:sz="4" w:space="0"/>
              <w:right w:val="single" w:color="auto" w:sz="4" w:space="0"/>
            </w:tcBorders>
            <w:vAlign w:val="center"/>
          </w:tcPr>
          <w:p w14:paraId="158440A6">
            <w:pPr>
              <w:widowControl/>
              <w:jc w:val="center"/>
              <w:textAlignment w:val="center"/>
              <w:rPr>
                <w:rFonts w:ascii="黑体" w:hAnsi="宋体" w:eastAsia="黑体" w:cs="黑体"/>
                <w:color w:val="000000"/>
                <w:sz w:val="20"/>
                <w:szCs w:val="20"/>
              </w:rPr>
            </w:pPr>
            <w:r>
              <w:rPr>
                <w:rFonts w:hint="eastAsia" w:ascii="黑体" w:hAnsi="宋体" w:eastAsia="黑体" w:cs="黑体"/>
                <w:color w:val="000000"/>
                <w:sz w:val="20"/>
                <w:szCs w:val="20"/>
              </w:rPr>
              <w:t>2</w:t>
            </w:r>
          </w:p>
        </w:tc>
        <w:tc>
          <w:tcPr>
            <w:tcW w:w="1305" w:type="dxa"/>
            <w:tcBorders>
              <w:top w:val="single" w:color="auto" w:sz="4" w:space="0"/>
              <w:left w:val="single" w:color="auto" w:sz="4" w:space="0"/>
              <w:bottom w:val="single" w:color="auto" w:sz="4" w:space="0"/>
              <w:right w:val="single" w:color="auto" w:sz="4" w:space="0"/>
            </w:tcBorders>
            <w:vAlign w:val="center"/>
          </w:tcPr>
          <w:p w14:paraId="157A7E06">
            <w:pPr>
              <w:widowControl/>
              <w:jc w:val="center"/>
              <w:textAlignment w:val="center"/>
              <w:rPr>
                <w:rFonts w:ascii="宋体" w:hAnsi="宋体" w:cs="宋体"/>
                <w:color w:val="000000"/>
                <w:sz w:val="20"/>
                <w:szCs w:val="20"/>
              </w:rPr>
            </w:pPr>
            <w:r>
              <w:rPr>
                <w:rFonts w:hint="eastAsia" w:ascii="宋体" w:hAnsi="宋体" w:cs="宋体"/>
                <w:color w:val="000000"/>
                <w:sz w:val="20"/>
                <w:szCs w:val="20"/>
              </w:rPr>
              <w:t>斜拉桥北地块</w:t>
            </w:r>
          </w:p>
        </w:tc>
        <w:tc>
          <w:tcPr>
            <w:tcW w:w="1051" w:type="dxa"/>
            <w:tcBorders>
              <w:top w:val="single" w:color="auto" w:sz="4" w:space="0"/>
              <w:left w:val="single" w:color="auto" w:sz="4" w:space="0"/>
              <w:bottom w:val="single" w:color="auto" w:sz="4" w:space="0"/>
              <w:right w:val="single" w:color="auto" w:sz="4" w:space="0"/>
            </w:tcBorders>
            <w:vAlign w:val="center"/>
          </w:tcPr>
          <w:p w14:paraId="148EBFAC">
            <w:pPr>
              <w:widowControl/>
              <w:jc w:val="center"/>
              <w:textAlignment w:val="center"/>
              <w:rPr>
                <w:rFonts w:ascii="宋体" w:hAnsi="宋体" w:cs="宋体"/>
                <w:color w:val="000000"/>
                <w:sz w:val="20"/>
                <w:szCs w:val="20"/>
              </w:rPr>
            </w:pPr>
            <w:r>
              <w:rPr>
                <w:rFonts w:hint="eastAsia" w:ascii="宋体" w:hAnsi="宋体" w:cs="宋体"/>
                <w:color w:val="000000"/>
                <w:sz w:val="20"/>
                <w:szCs w:val="20"/>
              </w:rPr>
              <w:t>3705</w:t>
            </w:r>
          </w:p>
        </w:tc>
        <w:tc>
          <w:tcPr>
            <w:tcW w:w="722" w:type="dxa"/>
            <w:tcBorders>
              <w:top w:val="single" w:color="auto" w:sz="4" w:space="0"/>
              <w:left w:val="single" w:color="auto" w:sz="4" w:space="0"/>
              <w:bottom w:val="single" w:color="auto" w:sz="4" w:space="0"/>
              <w:right w:val="single" w:color="auto" w:sz="4" w:space="0"/>
            </w:tcBorders>
            <w:vAlign w:val="center"/>
          </w:tcPr>
          <w:p w14:paraId="442FCF26">
            <w:pPr>
              <w:widowControl/>
              <w:jc w:val="center"/>
              <w:textAlignment w:val="center"/>
              <w:rPr>
                <w:rFonts w:ascii="宋体" w:hAnsi="宋体" w:cs="宋体"/>
                <w:color w:val="000000"/>
                <w:sz w:val="20"/>
                <w:szCs w:val="20"/>
              </w:rPr>
            </w:pPr>
            <w:r>
              <w:rPr>
                <w:rFonts w:hint="eastAsia" w:ascii="宋体" w:hAnsi="宋体" w:cs="宋体"/>
                <w:color w:val="000000"/>
                <w:sz w:val="20"/>
                <w:szCs w:val="20"/>
              </w:rPr>
              <w:t>淡水</w:t>
            </w:r>
          </w:p>
        </w:tc>
        <w:tc>
          <w:tcPr>
            <w:tcW w:w="2025" w:type="dxa"/>
            <w:tcBorders>
              <w:top w:val="single" w:color="auto" w:sz="4" w:space="0"/>
              <w:left w:val="single" w:color="auto" w:sz="4" w:space="0"/>
              <w:bottom w:val="single" w:color="auto" w:sz="4" w:space="0"/>
              <w:right w:val="single" w:color="auto" w:sz="4" w:space="0"/>
            </w:tcBorders>
            <w:vAlign w:val="center"/>
          </w:tcPr>
          <w:p w14:paraId="5C3C1A35">
            <w:pPr>
              <w:widowControl/>
              <w:jc w:val="center"/>
              <w:textAlignment w:val="center"/>
              <w:rPr>
                <w:rFonts w:ascii="宋体" w:hAnsi="宋体" w:cs="宋体"/>
                <w:color w:val="000000"/>
                <w:sz w:val="20"/>
                <w:szCs w:val="20"/>
              </w:rPr>
            </w:pPr>
            <w:r>
              <w:rPr>
                <w:rFonts w:hint="eastAsia" w:ascii="宋体" w:hAnsi="宋体" w:cs="宋体"/>
                <w:color w:val="000000"/>
                <w:sz w:val="20"/>
                <w:szCs w:val="20"/>
              </w:rPr>
              <w:t>2025年1月1日至2025年12月31日</w:t>
            </w:r>
          </w:p>
        </w:tc>
        <w:tc>
          <w:tcPr>
            <w:tcW w:w="1209" w:type="dxa"/>
            <w:tcBorders>
              <w:top w:val="single" w:color="auto" w:sz="4" w:space="0"/>
              <w:left w:val="single" w:color="auto" w:sz="4" w:space="0"/>
              <w:bottom w:val="single" w:color="auto" w:sz="4" w:space="0"/>
              <w:right w:val="single" w:color="auto" w:sz="4" w:space="0"/>
            </w:tcBorders>
            <w:vAlign w:val="center"/>
          </w:tcPr>
          <w:p w14:paraId="2C64B6EE">
            <w:pPr>
              <w:widowControl/>
              <w:jc w:val="center"/>
              <w:textAlignment w:val="center"/>
              <w:rPr>
                <w:rFonts w:ascii="宋体" w:hAnsi="宋体" w:cs="宋体"/>
                <w:color w:val="000000"/>
                <w:sz w:val="20"/>
                <w:szCs w:val="20"/>
              </w:rPr>
            </w:pPr>
            <w:r>
              <w:rPr>
                <w:rFonts w:hint="eastAsia" w:ascii="宋体" w:hAnsi="宋体" w:cs="宋体"/>
                <w:color w:val="000000"/>
                <w:sz w:val="20"/>
                <w:szCs w:val="20"/>
              </w:rPr>
              <w:t>290</w:t>
            </w:r>
          </w:p>
        </w:tc>
        <w:tc>
          <w:tcPr>
            <w:tcW w:w="1147" w:type="dxa"/>
            <w:tcBorders>
              <w:top w:val="single" w:color="auto" w:sz="4" w:space="0"/>
              <w:left w:val="single" w:color="auto" w:sz="4" w:space="0"/>
              <w:bottom w:val="single" w:color="auto" w:sz="4" w:space="0"/>
              <w:right w:val="single" w:color="auto" w:sz="4" w:space="0"/>
            </w:tcBorders>
            <w:vAlign w:val="center"/>
          </w:tcPr>
          <w:p w14:paraId="07FF576B">
            <w:pPr>
              <w:widowControl/>
              <w:jc w:val="center"/>
              <w:textAlignment w:val="center"/>
              <w:rPr>
                <w:rFonts w:ascii="宋体" w:hAnsi="宋体" w:cs="宋体"/>
                <w:color w:val="000000"/>
                <w:sz w:val="20"/>
                <w:szCs w:val="20"/>
              </w:rPr>
            </w:pPr>
            <w:r>
              <w:rPr>
                <w:rFonts w:hint="eastAsia" w:ascii="宋体" w:hAnsi="宋体" w:cs="宋体"/>
                <w:color w:val="000000"/>
                <w:sz w:val="20"/>
                <w:szCs w:val="20"/>
              </w:rPr>
              <w:t xml:space="preserve">1074450                                                                                                                                                                                                                                                                                                                                                                                                                                                                                                                                                                                                                                                                                                                                                                                                                                                                                                                              </w:t>
            </w:r>
          </w:p>
        </w:tc>
        <w:tc>
          <w:tcPr>
            <w:tcW w:w="1472" w:type="dxa"/>
            <w:tcBorders>
              <w:top w:val="single" w:color="auto" w:sz="4" w:space="0"/>
              <w:left w:val="single" w:color="auto" w:sz="4" w:space="0"/>
              <w:bottom w:val="single" w:color="auto" w:sz="4" w:space="0"/>
              <w:right w:val="single" w:color="auto" w:sz="4" w:space="0"/>
            </w:tcBorders>
            <w:vAlign w:val="center"/>
          </w:tcPr>
          <w:p w14:paraId="1BC9E566">
            <w:pPr>
              <w:widowControl/>
              <w:jc w:val="center"/>
              <w:textAlignment w:val="center"/>
              <w:rPr>
                <w:rFonts w:ascii="宋体" w:hAnsi="宋体" w:cs="宋体"/>
                <w:color w:val="000000"/>
                <w:sz w:val="20"/>
                <w:szCs w:val="20"/>
              </w:rPr>
            </w:pPr>
            <w:r>
              <w:rPr>
                <w:rFonts w:hint="eastAsia" w:ascii="宋体" w:hAnsi="宋体" w:cs="宋体"/>
                <w:color w:val="000000"/>
                <w:sz w:val="20"/>
                <w:szCs w:val="20"/>
              </w:rPr>
              <w:t>10.7</w:t>
            </w:r>
          </w:p>
        </w:tc>
        <w:tc>
          <w:tcPr>
            <w:tcW w:w="2126" w:type="dxa"/>
            <w:tcBorders>
              <w:top w:val="single" w:color="auto" w:sz="4" w:space="0"/>
              <w:left w:val="single" w:color="auto" w:sz="4" w:space="0"/>
              <w:bottom w:val="single" w:color="auto" w:sz="4" w:space="0"/>
              <w:right w:val="single" w:color="auto" w:sz="4" w:space="0"/>
            </w:tcBorders>
            <w:vAlign w:val="center"/>
          </w:tcPr>
          <w:p w14:paraId="1489BBC4">
            <w:pPr>
              <w:widowControl/>
              <w:jc w:val="left"/>
              <w:textAlignment w:val="center"/>
              <w:rPr>
                <w:rFonts w:ascii="宋体" w:hAnsi="宋体" w:cs="宋体"/>
                <w:color w:val="000000"/>
                <w:sz w:val="20"/>
                <w:szCs w:val="20"/>
              </w:rPr>
            </w:pPr>
            <w:r>
              <w:rPr>
                <w:rFonts w:hint="eastAsia" w:ascii="宋体" w:hAnsi="宋体" w:cs="宋体"/>
                <w:color w:val="000000"/>
                <w:sz w:val="20"/>
                <w:szCs w:val="20"/>
              </w:rPr>
              <w:t>央企或其占股超过50%的合资公司、地方国企或其占股超过50%的合资公司</w:t>
            </w:r>
          </w:p>
        </w:tc>
        <w:tc>
          <w:tcPr>
            <w:tcW w:w="1701" w:type="dxa"/>
            <w:tcBorders>
              <w:top w:val="single" w:color="auto" w:sz="4" w:space="0"/>
              <w:left w:val="single" w:color="auto" w:sz="4" w:space="0"/>
              <w:bottom w:val="single" w:color="auto" w:sz="4" w:space="0"/>
              <w:right w:val="single" w:color="auto" w:sz="4" w:space="0"/>
            </w:tcBorders>
            <w:vAlign w:val="center"/>
          </w:tcPr>
          <w:p w14:paraId="41BC6C0F">
            <w:pPr>
              <w:widowControl/>
              <w:jc w:val="left"/>
              <w:textAlignment w:val="center"/>
              <w:rPr>
                <w:rFonts w:ascii="宋体" w:hAnsi="宋体" w:cs="宋体"/>
                <w:b/>
                <w:bCs/>
                <w:color w:val="000000"/>
                <w:sz w:val="20"/>
                <w:szCs w:val="20"/>
              </w:rPr>
            </w:pPr>
            <w:r>
              <w:rPr>
                <w:rFonts w:hint="eastAsia" w:ascii="宋体" w:hAnsi="宋体" w:cs="宋体"/>
                <w:b/>
                <w:bCs/>
                <w:color w:val="000000"/>
                <w:sz w:val="20"/>
                <w:szCs w:val="20"/>
              </w:rPr>
              <w:t>合同一年一签订</w:t>
            </w:r>
          </w:p>
        </w:tc>
      </w:tr>
    </w:tbl>
    <w:p w14:paraId="1D7954FB">
      <w:pPr>
        <w:widowControl/>
        <w:jc w:val="left"/>
        <w:rPr>
          <w:rFonts w:ascii="幼圆" w:hAnsi="宋体" w:eastAsia="幼圆"/>
          <w:b/>
          <w:color w:val="000000"/>
          <w:sz w:val="28"/>
          <w:szCs w:val="28"/>
        </w:rPr>
        <w:sectPr>
          <w:pgSz w:w="16838" w:h="11906" w:orient="landscape"/>
          <w:pgMar w:top="1797" w:right="1440" w:bottom="1276" w:left="1440" w:header="851" w:footer="992" w:gutter="0"/>
          <w:cols w:space="720" w:num="1"/>
          <w:docGrid w:type="linesAndChars" w:linePitch="312" w:charSpace="0"/>
        </w:sectPr>
      </w:pPr>
    </w:p>
    <w:p w14:paraId="3D535D87">
      <w:pPr>
        <w:spacing w:line="580" w:lineRule="exact"/>
        <w:rPr>
          <w:rFonts w:ascii="幼圆" w:hAnsi="宋体" w:eastAsia="幼圆"/>
          <w:b/>
          <w:color w:val="000000"/>
          <w:sz w:val="28"/>
          <w:szCs w:val="28"/>
        </w:rPr>
      </w:pPr>
      <w:r>
        <w:rPr>
          <w:rFonts w:hint="eastAsia" w:ascii="幼圆" w:hAnsi="宋体" w:eastAsia="幼圆"/>
          <w:b/>
          <w:color w:val="000000"/>
          <w:sz w:val="28"/>
          <w:szCs w:val="28"/>
        </w:rPr>
        <w:t xml:space="preserve">附件3：竞租土地登记表 </w:t>
      </w:r>
    </w:p>
    <w:p w14:paraId="27E0F341">
      <w:pPr>
        <w:spacing w:line="240" w:lineRule="exact"/>
        <w:rPr>
          <w:rFonts w:ascii="华文中宋" w:hAnsi="华文中宋" w:eastAsia="华文中宋"/>
          <w:b/>
          <w:color w:val="000000"/>
          <w:sz w:val="36"/>
          <w:szCs w:val="36"/>
        </w:rPr>
      </w:pPr>
    </w:p>
    <w:p w14:paraId="26B7A80A">
      <w:pPr>
        <w:spacing w:line="720" w:lineRule="auto"/>
        <w:jc w:val="center"/>
        <w:rPr>
          <w:rFonts w:ascii="宋体" w:hAnsi="宋体"/>
          <w:b/>
          <w:color w:val="000000"/>
          <w:sz w:val="32"/>
          <w:szCs w:val="32"/>
        </w:rPr>
      </w:pPr>
      <w:r>
        <w:rPr>
          <w:rFonts w:hint="eastAsia" w:ascii="宋体" w:hAnsi="宋体"/>
          <w:b/>
          <w:color w:val="000000"/>
          <w:sz w:val="32"/>
          <w:szCs w:val="32"/>
        </w:rPr>
        <w:t xml:space="preserve">竞租土地登记表 </w:t>
      </w: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35"/>
        <w:gridCol w:w="6662"/>
      </w:tblGrid>
      <w:tr w14:paraId="4FCCA8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tcBorders>
              <w:top w:val="single" w:color="auto" w:sz="4" w:space="0"/>
              <w:left w:val="single" w:color="auto" w:sz="4" w:space="0"/>
              <w:bottom w:val="single" w:color="auto" w:sz="4" w:space="0"/>
              <w:right w:val="single" w:color="auto" w:sz="4" w:space="0"/>
            </w:tcBorders>
            <w:vAlign w:val="center"/>
          </w:tcPr>
          <w:p w14:paraId="3AA1E607">
            <w:pPr>
              <w:spacing w:line="360" w:lineRule="auto"/>
              <w:rPr>
                <w:rFonts w:ascii="宋体" w:hAnsi="宋体"/>
                <w:b/>
                <w:color w:val="000000"/>
                <w:kern w:val="0"/>
                <w:sz w:val="24"/>
                <w:szCs w:val="24"/>
              </w:rPr>
            </w:pPr>
            <w:r>
              <w:rPr>
                <w:rFonts w:hint="eastAsia" w:ascii="宋体" w:hAnsi="宋体"/>
                <w:b/>
                <w:color w:val="000000"/>
                <w:kern w:val="0"/>
                <w:sz w:val="24"/>
                <w:szCs w:val="24"/>
              </w:rPr>
              <w:t>竞租人名称/姓名</w:t>
            </w:r>
          </w:p>
        </w:tc>
        <w:tc>
          <w:tcPr>
            <w:tcW w:w="6662" w:type="dxa"/>
            <w:tcBorders>
              <w:top w:val="single" w:color="auto" w:sz="4" w:space="0"/>
              <w:left w:val="single" w:color="auto" w:sz="4" w:space="0"/>
              <w:bottom w:val="single" w:color="auto" w:sz="4" w:space="0"/>
              <w:right w:val="single" w:color="auto" w:sz="4" w:space="0"/>
            </w:tcBorders>
          </w:tcPr>
          <w:p w14:paraId="119DF35D">
            <w:pPr>
              <w:spacing w:line="360" w:lineRule="auto"/>
              <w:rPr>
                <w:rFonts w:ascii="仿宋" w:hAnsi="仿宋" w:eastAsia="仿宋"/>
                <w:b/>
                <w:color w:val="000000"/>
                <w:kern w:val="0"/>
                <w:sz w:val="28"/>
                <w:szCs w:val="28"/>
              </w:rPr>
            </w:pPr>
          </w:p>
        </w:tc>
      </w:tr>
      <w:tr w14:paraId="58DC5D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tcBorders>
              <w:top w:val="single" w:color="auto" w:sz="4" w:space="0"/>
              <w:left w:val="single" w:color="auto" w:sz="4" w:space="0"/>
              <w:bottom w:val="single" w:color="auto" w:sz="4" w:space="0"/>
              <w:right w:val="single" w:color="auto" w:sz="4" w:space="0"/>
            </w:tcBorders>
            <w:vAlign w:val="center"/>
          </w:tcPr>
          <w:p w14:paraId="75AD06FA">
            <w:pPr>
              <w:spacing w:line="360" w:lineRule="auto"/>
              <w:rPr>
                <w:rFonts w:ascii="宋体" w:hAnsi="宋体"/>
                <w:b/>
                <w:color w:val="000000"/>
                <w:kern w:val="0"/>
                <w:sz w:val="24"/>
                <w:szCs w:val="24"/>
              </w:rPr>
            </w:pPr>
            <w:r>
              <w:rPr>
                <w:rFonts w:hint="eastAsia" w:ascii="宋体" w:hAnsi="宋体"/>
                <w:b/>
                <w:color w:val="000000"/>
                <w:kern w:val="0"/>
                <w:sz w:val="24"/>
                <w:szCs w:val="24"/>
              </w:rPr>
              <w:t>竞租人证件及号码</w:t>
            </w:r>
          </w:p>
        </w:tc>
        <w:tc>
          <w:tcPr>
            <w:tcW w:w="6662" w:type="dxa"/>
            <w:tcBorders>
              <w:top w:val="single" w:color="auto" w:sz="4" w:space="0"/>
              <w:left w:val="single" w:color="auto" w:sz="4" w:space="0"/>
              <w:bottom w:val="single" w:color="auto" w:sz="4" w:space="0"/>
              <w:right w:val="single" w:color="auto" w:sz="4" w:space="0"/>
            </w:tcBorders>
          </w:tcPr>
          <w:p w14:paraId="326EF674">
            <w:pPr>
              <w:spacing w:line="360" w:lineRule="auto"/>
              <w:rPr>
                <w:rFonts w:ascii="仿宋" w:hAnsi="仿宋" w:eastAsia="仿宋"/>
                <w:b/>
                <w:color w:val="000000"/>
                <w:kern w:val="0"/>
                <w:sz w:val="28"/>
                <w:szCs w:val="28"/>
              </w:rPr>
            </w:pPr>
          </w:p>
        </w:tc>
      </w:tr>
      <w:tr w14:paraId="06961C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tcBorders>
              <w:top w:val="single" w:color="auto" w:sz="4" w:space="0"/>
              <w:left w:val="single" w:color="auto" w:sz="4" w:space="0"/>
              <w:bottom w:val="single" w:color="auto" w:sz="4" w:space="0"/>
              <w:right w:val="single" w:color="auto" w:sz="4" w:space="0"/>
            </w:tcBorders>
            <w:vAlign w:val="center"/>
          </w:tcPr>
          <w:p w14:paraId="18AC49DA">
            <w:pPr>
              <w:spacing w:line="360" w:lineRule="auto"/>
              <w:rPr>
                <w:rFonts w:ascii="宋体" w:hAnsi="宋体"/>
                <w:b/>
                <w:color w:val="000000"/>
                <w:kern w:val="0"/>
                <w:sz w:val="24"/>
                <w:szCs w:val="24"/>
              </w:rPr>
            </w:pPr>
            <w:r>
              <w:rPr>
                <w:rFonts w:hint="eastAsia" w:ascii="宋体" w:hAnsi="宋体"/>
                <w:b/>
                <w:color w:val="000000"/>
                <w:kern w:val="0"/>
                <w:sz w:val="24"/>
                <w:szCs w:val="24"/>
              </w:rPr>
              <w:t>竞租人的声明</w:t>
            </w:r>
          </w:p>
        </w:tc>
        <w:tc>
          <w:tcPr>
            <w:tcW w:w="6662" w:type="dxa"/>
            <w:tcBorders>
              <w:top w:val="single" w:color="auto" w:sz="4" w:space="0"/>
              <w:left w:val="single" w:color="auto" w:sz="4" w:space="0"/>
              <w:bottom w:val="single" w:color="auto" w:sz="4" w:space="0"/>
              <w:right w:val="single" w:color="auto" w:sz="4" w:space="0"/>
            </w:tcBorders>
          </w:tcPr>
          <w:p w14:paraId="735F9572">
            <w:pPr>
              <w:spacing w:line="360" w:lineRule="auto"/>
              <w:ind w:firstLine="485"/>
              <w:rPr>
                <w:rFonts w:ascii="仿宋" w:hAnsi="仿宋" w:eastAsia="仿宋"/>
                <w:sz w:val="24"/>
                <w:szCs w:val="24"/>
              </w:rPr>
            </w:pPr>
            <w:r>
              <w:rPr>
                <w:rFonts w:hint="eastAsia" w:ascii="仿宋" w:hAnsi="仿宋" w:eastAsia="仿宋"/>
                <w:kern w:val="0"/>
                <w:sz w:val="24"/>
                <w:szCs w:val="24"/>
              </w:rPr>
              <w:t>1、本人已经完全知悉意向竞租土地（新滩盐场闲置土地5610亩池塘）的现状，完全理解招租人就本次池塘招租的所有招租文件内容，并完全接受招租文件的所有要求。</w:t>
            </w:r>
          </w:p>
          <w:p w14:paraId="1EA4B553">
            <w:pPr>
              <w:ind w:firstLine="484" w:firstLineChars="202"/>
              <w:rPr>
                <w:rFonts w:ascii="仿宋" w:hAnsi="仿宋" w:eastAsia="仿宋"/>
                <w:color w:val="000000"/>
                <w:kern w:val="0"/>
                <w:sz w:val="24"/>
                <w:szCs w:val="24"/>
              </w:rPr>
            </w:pPr>
            <w:r>
              <w:rPr>
                <w:rFonts w:hint="eastAsia" w:ascii="仿宋" w:hAnsi="仿宋" w:eastAsia="仿宋"/>
                <w:kern w:val="0"/>
                <w:sz w:val="24"/>
                <w:szCs w:val="24"/>
              </w:rPr>
              <w:t>2、如本竞租人系招租人新滩盐场以前的池塘养殖承租户或承包人的，与招租人之间就此前池塘租赁合同没有任何恶意拖欠租金、擅自占用池塘或土地的争议，并签署了《声明书》。</w:t>
            </w:r>
          </w:p>
        </w:tc>
      </w:tr>
      <w:tr w14:paraId="57723C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tcBorders>
              <w:top w:val="single" w:color="auto" w:sz="4" w:space="0"/>
              <w:left w:val="single" w:color="auto" w:sz="4" w:space="0"/>
              <w:bottom w:val="single" w:color="auto" w:sz="4" w:space="0"/>
              <w:right w:val="single" w:color="auto" w:sz="4" w:space="0"/>
            </w:tcBorders>
            <w:vAlign w:val="center"/>
          </w:tcPr>
          <w:p w14:paraId="28007BED">
            <w:pPr>
              <w:spacing w:line="360" w:lineRule="auto"/>
              <w:rPr>
                <w:rFonts w:ascii="宋体" w:hAnsi="宋体"/>
                <w:b/>
                <w:color w:val="000000"/>
                <w:kern w:val="0"/>
                <w:sz w:val="24"/>
                <w:szCs w:val="24"/>
              </w:rPr>
            </w:pPr>
            <w:r>
              <w:rPr>
                <w:rFonts w:hint="eastAsia" w:ascii="宋体" w:hAnsi="宋体"/>
                <w:b/>
                <w:color w:val="000000"/>
                <w:kern w:val="0"/>
                <w:sz w:val="24"/>
                <w:szCs w:val="24"/>
              </w:rPr>
              <w:t>意向竞租池塘</w:t>
            </w:r>
          </w:p>
          <w:p w14:paraId="0A6D0208">
            <w:pPr>
              <w:spacing w:line="360" w:lineRule="auto"/>
              <w:rPr>
                <w:rFonts w:ascii="宋体" w:hAnsi="宋体"/>
                <w:b/>
                <w:color w:val="000000"/>
                <w:kern w:val="0"/>
                <w:sz w:val="24"/>
                <w:szCs w:val="24"/>
              </w:rPr>
            </w:pPr>
            <w:r>
              <w:rPr>
                <w:rFonts w:hint="eastAsia" w:ascii="宋体" w:hAnsi="宋体"/>
                <w:b/>
                <w:color w:val="000000"/>
                <w:kern w:val="0"/>
                <w:sz w:val="24"/>
                <w:szCs w:val="24"/>
              </w:rPr>
              <w:t>标段号</w:t>
            </w:r>
          </w:p>
        </w:tc>
        <w:tc>
          <w:tcPr>
            <w:tcW w:w="6662" w:type="dxa"/>
            <w:tcBorders>
              <w:top w:val="single" w:color="auto" w:sz="4" w:space="0"/>
              <w:left w:val="single" w:color="auto" w:sz="4" w:space="0"/>
              <w:bottom w:val="single" w:color="auto" w:sz="4" w:space="0"/>
              <w:right w:val="single" w:color="auto" w:sz="4" w:space="0"/>
            </w:tcBorders>
            <w:vAlign w:val="center"/>
          </w:tcPr>
          <w:p w14:paraId="0C3329E6">
            <w:pPr>
              <w:spacing w:line="360" w:lineRule="auto"/>
              <w:rPr>
                <w:rFonts w:ascii="仿宋" w:hAnsi="仿宋" w:eastAsia="仿宋"/>
                <w:color w:val="000000"/>
                <w:kern w:val="0"/>
                <w:sz w:val="24"/>
                <w:szCs w:val="24"/>
              </w:rPr>
            </w:pPr>
            <w:r>
              <w:rPr>
                <w:rFonts w:hint="eastAsia" w:ascii="仿宋" w:hAnsi="仿宋" w:eastAsia="仿宋"/>
                <w:color w:val="000000"/>
                <w:kern w:val="0"/>
                <w:sz w:val="24"/>
                <w:szCs w:val="24"/>
              </w:rPr>
              <w:t>招租人已公布《招租池塘情况一览表》中载明的招租池塘标段号为第号池塘。</w:t>
            </w:r>
          </w:p>
        </w:tc>
      </w:tr>
      <w:tr w14:paraId="4BBC97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trPr>
        <w:tc>
          <w:tcPr>
            <w:tcW w:w="2235" w:type="dxa"/>
            <w:tcBorders>
              <w:top w:val="single" w:color="auto" w:sz="4" w:space="0"/>
              <w:left w:val="single" w:color="auto" w:sz="4" w:space="0"/>
              <w:bottom w:val="single" w:color="auto" w:sz="4" w:space="0"/>
              <w:right w:val="single" w:color="auto" w:sz="4" w:space="0"/>
            </w:tcBorders>
            <w:vAlign w:val="center"/>
          </w:tcPr>
          <w:p w14:paraId="64C3859B">
            <w:pPr>
              <w:spacing w:line="360" w:lineRule="auto"/>
              <w:rPr>
                <w:rFonts w:ascii="宋体" w:hAnsi="宋体"/>
                <w:b/>
                <w:color w:val="000000"/>
                <w:kern w:val="0"/>
                <w:sz w:val="24"/>
                <w:szCs w:val="24"/>
              </w:rPr>
            </w:pPr>
            <w:r>
              <w:rPr>
                <w:rFonts w:hint="eastAsia" w:ascii="宋体" w:hAnsi="宋体"/>
                <w:b/>
                <w:color w:val="000000"/>
                <w:kern w:val="0"/>
                <w:sz w:val="24"/>
                <w:szCs w:val="24"/>
              </w:rPr>
              <w:t>已缴竞租保证金及预付租金</w:t>
            </w:r>
          </w:p>
        </w:tc>
        <w:tc>
          <w:tcPr>
            <w:tcW w:w="6662" w:type="dxa"/>
            <w:tcBorders>
              <w:top w:val="single" w:color="auto" w:sz="4" w:space="0"/>
              <w:left w:val="single" w:color="auto" w:sz="4" w:space="0"/>
              <w:bottom w:val="single" w:color="auto" w:sz="4" w:space="0"/>
              <w:right w:val="single" w:color="auto" w:sz="4" w:space="0"/>
            </w:tcBorders>
            <w:vAlign w:val="center"/>
          </w:tcPr>
          <w:p w14:paraId="3788AD2B">
            <w:pPr>
              <w:spacing w:line="360" w:lineRule="auto"/>
              <w:rPr>
                <w:rFonts w:ascii="仿宋" w:hAnsi="仿宋" w:eastAsia="仿宋"/>
                <w:color w:val="000000"/>
                <w:kern w:val="0"/>
                <w:sz w:val="24"/>
                <w:szCs w:val="24"/>
              </w:rPr>
            </w:pPr>
            <w:r>
              <w:rPr>
                <w:rFonts w:hint="eastAsia" w:ascii="仿宋" w:hAnsi="仿宋" w:eastAsia="仿宋"/>
                <w:color w:val="000000"/>
                <w:kern w:val="0"/>
                <w:sz w:val="24"/>
                <w:szCs w:val="24"/>
              </w:rPr>
              <w:t xml:space="preserve">竞租保证金人民币小写元；                         </w:t>
            </w:r>
          </w:p>
          <w:p w14:paraId="70F7473E">
            <w:pPr>
              <w:spacing w:line="360" w:lineRule="auto"/>
              <w:rPr>
                <w:rFonts w:ascii="仿宋" w:hAnsi="仿宋" w:eastAsia="仿宋"/>
                <w:color w:val="000000"/>
                <w:kern w:val="0"/>
                <w:sz w:val="24"/>
                <w:szCs w:val="24"/>
              </w:rPr>
            </w:pPr>
            <w:r>
              <w:rPr>
                <w:rFonts w:hint="eastAsia" w:ascii="仿宋" w:hAnsi="仿宋" w:eastAsia="仿宋"/>
                <w:color w:val="000000"/>
                <w:kern w:val="0"/>
                <w:sz w:val="24"/>
                <w:szCs w:val="24"/>
              </w:rPr>
              <w:t>预付租金人民币小写</w:t>
            </w:r>
            <w:r>
              <w:rPr>
                <w:rFonts w:hint="eastAsia" w:ascii="仿宋" w:hAnsi="仿宋" w:eastAsia="仿宋"/>
                <w:color w:val="000000"/>
                <w:kern w:val="0"/>
                <w:sz w:val="24"/>
                <w:szCs w:val="24"/>
                <w:shd w:val="pct10" w:color="auto" w:fill="FFFFFF"/>
              </w:rPr>
              <w:t xml:space="preserve">          /         </w:t>
            </w:r>
            <w:r>
              <w:rPr>
                <w:rFonts w:hint="eastAsia" w:ascii="仿宋" w:hAnsi="仿宋" w:eastAsia="仿宋"/>
                <w:color w:val="000000"/>
                <w:kern w:val="0"/>
                <w:sz w:val="24"/>
                <w:szCs w:val="24"/>
              </w:rPr>
              <w:t>元。</w:t>
            </w:r>
          </w:p>
        </w:tc>
      </w:tr>
      <w:tr w14:paraId="049407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tcBorders>
              <w:top w:val="single" w:color="auto" w:sz="4" w:space="0"/>
              <w:left w:val="single" w:color="auto" w:sz="4" w:space="0"/>
              <w:bottom w:val="single" w:color="auto" w:sz="4" w:space="0"/>
              <w:right w:val="single" w:color="auto" w:sz="4" w:space="0"/>
            </w:tcBorders>
            <w:vAlign w:val="center"/>
          </w:tcPr>
          <w:p w14:paraId="7E8F2459">
            <w:pPr>
              <w:spacing w:line="360" w:lineRule="auto"/>
              <w:rPr>
                <w:rFonts w:ascii="宋体" w:hAnsi="宋体"/>
                <w:b/>
                <w:color w:val="000000"/>
                <w:kern w:val="0"/>
                <w:sz w:val="24"/>
                <w:szCs w:val="24"/>
              </w:rPr>
            </w:pPr>
            <w:r>
              <w:rPr>
                <w:rFonts w:hint="eastAsia" w:ascii="宋体" w:hAnsi="宋体"/>
                <w:b/>
                <w:color w:val="000000"/>
                <w:kern w:val="0"/>
                <w:sz w:val="24"/>
                <w:szCs w:val="24"/>
              </w:rPr>
              <w:t>竞租人送达地址</w:t>
            </w:r>
          </w:p>
        </w:tc>
        <w:tc>
          <w:tcPr>
            <w:tcW w:w="6662" w:type="dxa"/>
            <w:tcBorders>
              <w:top w:val="single" w:color="auto" w:sz="4" w:space="0"/>
              <w:left w:val="single" w:color="auto" w:sz="4" w:space="0"/>
              <w:bottom w:val="single" w:color="auto" w:sz="4" w:space="0"/>
              <w:right w:val="single" w:color="auto" w:sz="4" w:space="0"/>
            </w:tcBorders>
            <w:vAlign w:val="center"/>
          </w:tcPr>
          <w:p w14:paraId="3F5AECC5">
            <w:pPr>
              <w:spacing w:line="360" w:lineRule="auto"/>
              <w:rPr>
                <w:rFonts w:ascii="仿宋" w:hAnsi="仿宋" w:eastAsia="仿宋"/>
                <w:b/>
                <w:color w:val="000000"/>
                <w:kern w:val="0"/>
                <w:sz w:val="28"/>
                <w:szCs w:val="28"/>
              </w:rPr>
            </w:pPr>
          </w:p>
        </w:tc>
      </w:tr>
      <w:tr w14:paraId="1CC2F1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tcBorders>
              <w:top w:val="single" w:color="auto" w:sz="4" w:space="0"/>
              <w:left w:val="single" w:color="auto" w:sz="4" w:space="0"/>
              <w:bottom w:val="single" w:color="auto" w:sz="4" w:space="0"/>
              <w:right w:val="single" w:color="auto" w:sz="4" w:space="0"/>
            </w:tcBorders>
            <w:vAlign w:val="center"/>
          </w:tcPr>
          <w:p w14:paraId="4C6463BA">
            <w:pPr>
              <w:spacing w:line="360" w:lineRule="auto"/>
              <w:rPr>
                <w:rFonts w:ascii="宋体" w:hAnsi="宋体"/>
                <w:b/>
                <w:color w:val="000000"/>
                <w:kern w:val="0"/>
                <w:sz w:val="24"/>
                <w:szCs w:val="24"/>
              </w:rPr>
            </w:pPr>
            <w:r>
              <w:rPr>
                <w:rFonts w:hint="eastAsia" w:ascii="宋体" w:hAnsi="宋体"/>
                <w:b/>
                <w:color w:val="000000"/>
                <w:kern w:val="0"/>
                <w:sz w:val="24"/>
                <w:szCs w:val="24"/>
              </w:rPr>
              <w:t>联系人及电话号码</w:t>
            </w:r>
          </w:p>
        </w:tc>
        <w:tc>
          <w:tcPr>
            <w:tcW w:w="6662" w:type="dxa"/>
            <w:tcBorders>
              <w:top w:val="single" w:color="auto" w:sz="4" w:space="0"/>
              <w:left w:val="single" w:color="auto" w:sz="4" w:space="0"/>
              <w:bottom w:val="single" w:color="auto" w:sz="4" w:space="0"/>
              <w:right w:val="single" w:color="auto" w:sz="4" w:space="0"/>
            </w:tcBorders>
          </w:tcPr>
          <w:p w14:paraId="02B3ABBD">
            <w:pPr>
              <w:spacing w:line="360" w:lineRule="auto"/>
              <w:rPr>
                <w:rFonts w:ascii="仿宋" w:hAnsi="仿宋" w:eastAsia="仿宋"/>
                <w:b/>
                <w:color w:val="000000"/>
                <w:kern w:val="0"/>
                <w:sz w:val="28"/>
                <w:szCs w:val="28"/>
              </w:rPr>
            </w:pPr>
          </w:p>
        </w:tc>
      </w:tr>
      <w:tr w14:paraId="213738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9" w:hRule="atLeast"/>
        </w:trPr>
        <w:tc>
          <w:tcPr>
            <w:tcW w:w="2235" w:type="dxa"/>
            <w:tcBorders>
              <w:top w:val="single" w:color="auto" w:sz="4" w:space="0"/>
              <w:left w:val="single" w:color="auto" w:sz="4" w:space="0"/>
              <w:bottom w:val="single" w:color="auto" w:sz="4" w:space="0"/>
              <w:right w:val="single" w:color="auto" w:sz="4" w:space="0"/>
            </w:tcBorders>
            <w:vAlign w:val="center"/>
          </w:tcPr>
          <w:p w14:paraId="2C62ED57">
            <w:pPr>
              <w:spacing w:line="360" w:lineRule="auto"/>
              <w:rPr>
                <w:rFonts w:ascii="宋体" w:hAnsi="宋体"/>
                <w:b/>
                <w:color w:val="000000"/>
                <w:kern w:val="0"/>
                <w:sz w:val="24"/>
                <w:szCs w:val="24"/>
              </w:rPr>
            </w:pPr>
            <w:r>
              <w:rPr>
                <w:rFonts w:hint="eastAsia" w:ascii="宋体" w:hAnsi="宋体"/>
                <w:b/>
                <w:color w:val="000000"/>
                <w:kern w:val="0"/>
                <w:sz w:val="24"/>
                <w:szCs w:val="24"/>
              </w:rPr>
              <w:t>竞租人确认</w:t>
            </w:r>
          </w:p>
        </w:tc>
        <w:tc>
          <w:tcPr>
            <w:tcW w:w="6662" w:type="dxa"/>
            <w:tcBorders>
              <w:top w:val="single" w:color="auto" w:sz="4" w:space="0"/>
              <w:left w:val="single" w:color="auto" w:sz="4" w:space="0"/>
              <w:bottom w:val="single" w:color="auto" w:sz="4" w:space="0"/>
              <w:right w:val="single" w:color="auto" w:sz="4" w:space="0"/>
            </w:tcBorders>
          </w:tcPr>
          <w:p w14:paraId="4B1FF083">
            <w:pPr>
              <w:spacing w:line="360" w:lineRule="auto"/>
              <w:rPr>
                <w:rFonts w:ascii="仿宋" w:hAnsi="仿宋" w:eastAsia="仿宋"/>
                <w:color w:val="000000"/>
                <w:kern w:val="0"/>
                <w:sz w:val="24"/>
                <w:szCs w:val="24"/>
              </w:rPr>
            </w:pPr>
            <w:r>
              <w:rPr>
                <w:rFonts w:hint="eastAsia" w:ascii="仿宋" w:hAnsi="仿宋" w:eastAsia="仿宋"/>
                <w:color w:val="000000"/>
                <w:kern w:val="0"/>
                <w:sz w:val="24"/>
                <w:szCs w:val="24"/>
              </w:rPr>
              <w:t>（竞租人盖章、签名手印）</w:t>
            </w:r>
          </w:p>
          <w:p w14:paraId="5821DE83">
            <w:pPr>
              <w:spacing w:line="360" w:lineRule="auto"/>
              <w:rPr>
                <w:rFonts w:ascii="仿宋" w:hAnsi="仿宋" w:eastAsia="仿宋"/>
                <w:color w:val="000000"/>
                <w:kern w:val="0"/>
                <w:sz w:val="24"/>
                <w:szCs w:val="24"/>
              </w:rPr>
            </w:pPr>
          </w:p>
          <w:p w14:paraId="64168032">
            <w:pPr>
              <w:spacing w:line="360" w:lineRule="auto"/>
              <w:rPr>
                <w:rFonts w:ascii="仿宋" w:hAnsi="仿宋" w:eastAsia="仿宋"/>
                <w:color w:val="000000"/>
                <w:kern w:val="0"/>
                <w:sz w:val="24"/>
                <w:szCs w:val="24"/>
              </w:rPr>
            </w:pPr>
          </w:p>
          <w:p w14:paraId="67F99131">
            <w:pPr>
              <w:spacing w:line="360" w:lineRule="auto"/>
              <w:rPr>
                <w:rFonts w:ascii="仿宋" w:hAnsi="仿宋" w:eastAsia="仿宋"/>
                <w:color w:val="000000"/>
                <w:kern w:val="0"/>
                <w:sz w:val="24"/>
                <w:szCs w:val="24"/>
              </w:rPr>
            </w:pPr>
          </w:p>
          <w:p w14:paraId="25707196">
            <w:pPr>
              <w:spacing w:line="360" w:lineRule="auto"/>
              <w:jc w:val="right"/>
              <w:rPr>
                <w:rFonts w:ascii="仿宋" w:hAnsi="仿宋" w:eastAsia="仿宋"/>
                <w:b/>
                <w:color w:val="000000"/>
                <w:kern w:val="0"/>
                <w:sz w:val="28"/>
                <w:szCs w:val="28"/>
              </w:rPr>
            </w:pPr>
            <w:r>
              <w:rPr>
                <w:rFonts w:hint="eastAsia" w:ascii="仿宋" w:hAnsi="仿宋" w:eastAsia="仿宋"/>
                <w:color w:val="000000"/>
                <w:kern w:val="0"/>
                <w:sz w:val="24"/>
                <w:szCs w:val="24"/>
              </w:rPr>
              <w:t>2025年   月   日</w:t>
            </w:r>
          </w:p>
        </w:tc>
      </w:tr>
    </w:tbl>
    <w:p w14:paraId="47E0AFC7">
      <w:pPr>
        <w:rPr>
          <w:rFonts w:ascii="仿宋" w:hAnsi="仿宋" w:eastAsia="仿宋"/>
          <w:b/>
          <w:color w:val="000000"/>
          <w:sz w:val="28"/>
          <w:szCs w:val="28"/>
          <w:u w:val="single"/>
        </w:rPr>
      </w:pPr>
    </w:p>
    <w:p w14:paraId="0CCB95CA">
      <w:pPr>
        <w:rPr>
          <w:rFonts w:ascii="仿宋" w:hAnsi="仿宋" w:eastAsia="仿宋"/>
          <w:b/>
          <w:color w:val="000000"/>
          <w:sz w:val="28"/>
          <w:szCs w:val="28"/>
          <w:u w:val="single"/>
        </w:rPr>
      </w:pPr>
    </w:p>
    <w:p w14:paraId="327A01C9">
      <w:pPr>
        <w:rPr>
          <w:rFonts w:ascii="仿宋" w:hAnsi="仿宋" w:eastAsia="仿宋"/>
          <w:b/>
          <w:color w:val="000000"/>
          <w:sz w:val="28"/>
          <w:szCs w:val="28"/>
          <w:u w:val="single"/>
        </w:rPr>
      </w:pPr>
    </w:p>
    <w:p w14:paraId="60B465B5">
      <w:pPr>
        <w:rPr>
          <w:rFonts w:ascii="幼圆" w:hAnsi="宋体" w:eastAsia="幼圆"/>
          <w:b/>
          <w:color w:val="000000"/>
          <w:sz w:val="28"/>
          <w:szCs w:val="28"/>
        </w:rPr>
      </w:pPr>
      <w:r>
        <w:rPr>
          <w:rFonts w:hint="eastAsia" w:ascii="幼圆" w:hAnsi="宋体" w:eastAsia="幼圆"/>
          <w:b/>
          <w:color w:val="000000"/>
          <w:sz w:val="28"/>
          <w:szCs w:val="28"/>
        </w:rPr>
        <w:t>附件4：声明书</w:t>
      </w:r>
    </w:p>
    <w:p w14:paraId="47EC8964">
      <w:pPr>
        <w:spacing w:line="720" w:lineRule="auto"/>
        <w:jc w:val="center"/>
        <w:rPr>
          <w:rFonts w:ascii="宋体" w:hAnsi="宋体"/>
          <w:b/>
          <w:color w:val="000000"/>
          <w:sz w:val="32"/>
          <w:szCs w:val="32"/>
        </w:rPr>
      </w:pPr>
      <w:r>
        <w:rPr>
          <w:rFonts w:hint="eastAsia" w:ascii="宋体" w:hAnsi="宋体"/>
          <w:b/>
          <w:color w:val="000000"/>
          <w:sz w:val="32"/>
          <w:szCs w:val="32"/>
        </w:rPr>
        <w:t>声明书</w:t>
      </w:r>
    </w:p>
    <w:p w14:paraId="54E5BFC1">
      <w:pPr>
        <w:spacing w:line="560" w:lineRule="exact"/>
        <w:ind w:firstLine="565" w:firstLineChars="202"/>
        <w:rPr>
          <w:rFonts w:ascii="仿宋" w:hAnsi="仿宋" w:eastAsia="仿宋"/>
          <w:sz w:val="28"/>
          <w:szCs w:val="28"/>
        </w:rPr>
      </w:pPr>
      <w:r>
        <w:rPr>
          <w:rFonts w:hint="eastAsia" w:ascii="仿宋" w:hAnsi="仿宋" w:eastAsia="仿宋"/>
          <w:sz w:val="28"/>
          <w:szCs w:val="28"/>
        </w:rPr>
        <w:t>竞租人在此声明：就此前的本人与盐城市新滩盐场实业发展有限公司、滨海新昇水产养殖有限公司或盐城市灌东盐场发展有限公司之间的池塘/水库的所有租赁合同或承包合同，本人承诺不再向盐城市新滩盐场实业发展有限公司、滨海新昇水产养殖有限公司或盐城市灌东盐场发展有限公司提出任何主张和要求，本人和盐城市新滩盐场实业发展有限公司、滨海新昇水产养殖有限公司或盐城市新滩盐场实业发展有限公司之间的所有争议和纠纷全部处理完毕，双方之间不再有任何争议和纠纷。本人将不会就租赁合同或承包合同的相关遗留争议通过诉讼、仲裁或上访信访等形式向盐城市新滩盐场实业发展有限公司、滨海新昇水产养殖有限公司或盐城市灌东盐场发展有限公司提出任何赔偿或补偿要求。</w:t>
      </w:r>
    </w:p>
    <w:p w14:paraId="076D4887">
      <w:pPr>
        <w:spacing w:line="560" w:lineRule="exact"/>
        <w:ind w:firstLine="565" w:firstLineChars="202"/>
        <w:rPr>
          <w:rFonts w:ascii="仿宋" w:hAnsi="仿宋" w:eastAsia="仿宋"/>
          <w:sz w:val="28"/>
          <w:szCs w:val="28"/>
        </w:rPr>
      </w:pPr>
      <w:r>
        <w:rPr>
          <w:rFonts w:hint="eastAsia" w:ascii="仿宋" w:hAnsi="仿宋" w:eastAsia="仿宋"/>
          <w:sz w:val="28"/>
          <w:szCs w:val="28"/>
        </w:rPr>
        <w:t>本人承诺，本声明不得撤销、不得变更、不得违背，声明内容在任何情况下均永久有效。</w:t>
      </w:r>
    </w:p>
    <w:p w14:paraId="627672C4">
      <w:pPr>
        <w:spacing w:line="560" w:lineRule="exact"/>
        <w:ind w:firstLine="565" w:firstLineChars="202"/>
        <w:rPr>
          <w:rFonts w:ascii="仿宋" w:hAnsi="仿宋" w:eastAsia="仿宋"/>
          <w:sz w:val="28"/>
          <w:szCs w:val="28"/>
        </w:rPr>
      </w:pPr>
      <w:r>
        <w:rPr>
          <w:rFonts w:hint="eastAsia" w:ascii="仿宋" w:hAnsi="仿宋" w:eastAsia="仿宋"/>
          <w:sz w:val="28"/>
          <w:szCs w:val="28"/>
        </w:rPr>
        <w:t>特此声明。</w:t>
      </w:r>
    </w:p>
    <w:p w14:paraId="6B79AECA">
      <w:pPr>
        <w:spacing w:line="560" w:lineRule="exact"/>
        <w:ind w:firstLine="4393" w:firstLineChars="1569"/>
        <w:rPr>
          <w:rFonts w:ascii="仿宋" w:hAnsi="仿宋" w:eastAsia="仿宋"/>
          <w:sz w:val="28"/>
          <w:szCs w:val="28"/>
        </w:rPr>
      </w:pPr>
    </w:p>
    <w:p w14:paraId="20AE5F7D">
      <w:pPr>
        <w:spacing w:line="560" w:lineRule="exact"/>
        <w:ind w:firstLine="4393" w:firstLineChars="1569"/>
        <w:rPr>
          <w:rFonts w:ascii="仿宋" w:hAnsi="仿宋" w:eastAsia="仿宋"/>
          <w:sz w:val="28"/>
          <w:szCs w:val="28"/>
        </w:rPr>
      </w:pPr>
    </w:p>
    <w:p w14:paraId="78A6477A">
      <w:pPr>
        <w:spacing w:line="560" w:lineRule="exact"/>
        <w:ind w:firstLine="4393" w:firstLineChars="1569"/>
        <w:rPr>
          <w:rFonts w:ascii="仿宋" w:hAnsi="仿宋" w:eastAsia="仿宋"/>
          <w:sz w:val="28"/>
          <w:szCs w:val="28"/>
        </w:rPr>
      </w:pPr>
      <w:r>
        <w:rPr>
          <w:rFonts w:hint="eastAsia" w:ascii="仿宋" w:hAnsi="仿宋" w:eastAsia="仿宋"/>
          <w:sz w:val="28"/>
          <w:szCs w:val="28"/>
        </w:rPr>
        <w:t>声明人（盖章、签名手印）：</w:t>
      </w:r>
    </w:p>
    <w:p w14:paraId="46872F11">
      <w:pPr>
        <w:spacing w:line="560" w:lineRule="exact"/>
        <w:ind w:firstLine="4393" w:firstLineChars="1569"/>
        <w:rPr>
          <w:rFonts w:ascii="仿宋" w:hAnsi="仿宋" w:eastAsia="仿宋"/>
          <w:sz w:val="28"/>
          <w:szCs w:val="28"/>
        </w:rPr>
      </w:pPr>
    </w:p>
    <w:p w14:paraId="0487F3A6">
      <w:pPr>
        <w:spacing w:line="560" w:lineRule="exact"/>
        <w:ind w:firstLine="4670" w:firstLineChars="1668"/>
        <w:rPr>
          <w:rFonts w:ascii="仿宋" w:hAnsi="仿宋" w:eastAsia="仿宋"/>
          <w:sz w:val="28"/>
          <w:szCs w:val="28"/>
        </w:rPr>
      </w:pPr>
      <w:r>
        <w:rPr>
          <w:rFonts w:hint="eastAsia" w:ascii="仿宋" w:hAnsi="仿宋" w:eastAsia="仿宋"/>
          <w:sz w:val="28"/>
          <w:szCs w:val="28"/>
        </w:rPr>
        <w:t>二〇二五年  月  日</w:t>
      </w:r>
    </w:p>
    <w:p w14:paraId="4D31FCD0">
      <w:pPr>
        <w:spacing w:line="560" w:lineRule="exact"/>
        <w:ind w:firstLine="4670" w:firstLineChars="1668"/>
        <w:rPr>
          <w:rFonts w:ascii="仿宋" w:hAnsi="仿宋" w:eastAsia="仿宋"/>
          <w:color w:val="000000"/>
          <w:sz w:val="28"/>
          <w:szCs w:val="28"/>
        </w:rPr>
      </w:pPr>
    </w:p>
    <w:p w14:paraId="58745BF6">
      <w:pPr>
        <w:spacing w:line="560" w:lineRule="exact"/>
        <w:ind w:firstLine="4670" w:firstLineChars="1668"/>
        <w:rPr>
          <w:rFonts w:ascii="仿宋" w:hAnsi="仿宋" w:eastAsia="仿宋"/>
          <w:color w:val="000000"/>
          <w:sz w:val="28"/>
          <w:szCs w:val="28"/>
        </w:rPr>
      </w:pPr>
    </w:p>
    <w:p w14:paraId="5E4E22BA">
      <w:pPr>
        <w:rPr>
          <w:rFonts w:ascii="宋体" w:hAnsi="宋体"/>
          <w:b/>
          <w:color w:val="000000"/>
          <w:sz w:val="28"/>
          <w:szCs w:val="28"/>
        </w:rPr>
      </w:pPr>
    </w:p>
    <w:p w14:paraId="0BA7A877">
      <w:pPr>
        <w:rPr>
          <w:rFonts w:ascii="宋体" w:cs="宋体"/>
          <w:b/>
          <w:sz w:val="28"/>
          <w:szCs w:val="28"/>
        </w:rPr>
      </w:pPr>
      <w:r>
        <w:rPr>
          <w:rFonts w:hint="eastAsia" w:ascii="幼圆" w:hAnsi="宋体" w:eastAsia="幼圆"/>
          <w:b/>
          <w:color w:val="000000"/>
          <w:sz w:val="28"/>
          <w:szCs w:val="28"/>
        </w:rPr>
        <w:t>附件5：</w:t>
      </w:r>
      <w:r>
        <w:rPr>
          <w:rFonts w:hint="eastAsia" w:ascii="幼圆" w:hAnsi="宋体" w:eastAsia="幼圆"/>
          <w:b/>
          <w:sz w:val="28"/>
          <w:szCs w:val="28"/>
        </w:rPr>
        <w:t>承诺</w:t>
      </w:r>
      <w:r>
        <w:rPr>
          <w:rFonts w:hint="eastAsia" w:ascii="宋体" w:hAnsi="宋体" w:cs="宋体"/>
          <w:b/>
          <w:sz w:val="28"/>
          <w:szCs w:val="28"/>
        </w:rPr>
        <w:t>书</w:t>
      </w:r>
    </w:p>
    <w:p w14:paraId="3A3946AB">
      <w:pPr>
        <w:jc w:val="center"/>
        <w:rPr>
          <w:rFonts w:ascii="宋体" w:cs="宋体"/>
          <w:b/>
          <w:sz w:val="28"/>
          <w:szCs w:val="28"/>
        </w:rPr>
      </w:pPr>
      <w:r>
        <w:rPr>
          <w:rFonts w:hint="eastAsia" w:ascii="宋体" w:hAnsi="宋体" w:cs="宋体"/>
          <w:b/>
          <w:sz w:val="28"/>
          <w:szCs w:val="28"/>
        </w:rPr>
        <w:t>承诺书</w:t>
      </w:r>
    </w:p>
    <w:p w14:paraId="0D3593DE">
      <w:pPr>
        <w:spacing w:line="520" w:lineRule="exact"/>
        <w:ind w:firstLine="565" w:firstLineChars="202"/>
        <w:rPr>
          <w:rFonts w:ascii="仿宋" w:hAnsi="仿宋" w:eastAsia="仿宋"/>
          <w:sz w:val="28"/>
          <w:szCs w:val="28"/>
        </w:rPr>
      </w:pPr>
      <w:r>
        <w:rPr>
          <w:rFonts w:hint="eastAsia" w:ascii="仿宋" w:hAnsi="仿宋" w:eastAsia="仿宋"/>
          <w:sz w:val="28"/>
          <w:szCs w:val="28"/>
        </w:rPr>
        <w:t>竞租人在此郑重承诺：就</w:t>
      </w:r>
      <w:r>
        <w:rPr>
          <w:rFonts w:hint="eastAsia" w:ascii="仿宋" w:hAnsi="仿宋" w:eastAsia="仿宋"/>
          <w:color w:val="auto"/>
          <w:sz w:val="28"/>
          <w:szCs w:val="28"/>
        </w:rPr>
        <w:t>匡围池</w:t>
      </w:r>
      <w:r>
        <w:rPr>
          <w:rFonts w:hint="eastAsia" w:ascii="仿宋" w:hAnsi="仿宋" w:eastAsia="仿宋"/>
          <w:sz w:val="28"/>
          <w:szCs w:val="28"/>
        </w:rPr>
        <w:t>塘租期届满向招租人无条件、无补偿、无赔偿交还土地或池塘，本单位或本人承诺租赁期内严格按招租方案要求和合同约定养殖水产品；不擅自在承租区域内修建永久性建筑等设施；租期届满前清收完所有水产品，自行处置完流动资产，按期向招租人交还土地。如本单位或本人不能在池塘租期结束后15日内交还招租人池塘及土地，招租人可在任何时候采取强制排水、强制扒堆等一切措施收回池塘及土地，由此所造成的一切经济损失和法律责任都由本单位或本人自行承担，与招租人无关，本单位或本人绝无异议。同时，本次招租的池塘土地及其水、电、路等设施是以现状为准进行招租，在本次租赁期间，招租人不再对土地及其设施进行修缮或添置等投入。如我方需对土地进行改造的，所有改造费用由承租人自行承担，租期届满时承租人不得向招租人提出任何改造费用的补偿或赔偿要求。本单位或本人若违反上述承诺中的一条或多条的，本单位自愿向招租人支付50万元的惩罚性违约金。</w:t>
      </w:r>
    </w:p>
    <w:p w14:paraId="691C8381">
      <w:pPr>
        <w:ind w:firstLine="560" w:firstLineChars="200"/>
        <w:rPr>
          <w:rFonts w:ascii="仿宋" w:hAnsi="仿宋" w:eastAsia="仿宋"/>
          <w:sz w:val="28"/>
          <w:szCs w:val="28"/>
        </w:rPr>
      </w:pPr>
      <w:r>
        <w:rPr>
          <w:rFonts w:hint="eastAsia" w:ascii="仿宋" w:hAnsi="仿宋" w:eastAsia="仿宋"/>
          <w:sz w:val="28"/>
          <w:szCs w:val="28"/>
        </w:rPr>
        <w:t>特此承诺。</w:t>
      </w:r>
    </w:p>
    <w:p w14:paraId="369DA025">
      <w:pPr>
        <w:ind w:firstLine="560" w:firstLineChars="200"/>
        <w:rPr>
          <w:rFonts w:ascii="仿宋" w:hAnsi="仿宋" w:eastAsia="仿宋"/>
          <w:sz w:val="28"/>
          <w:szCs w:val="28"/>
        </w:rPr>
      </w:pPr>
    </w:p>
    <w:p w14:paraId="628F3A67">
      <w:pPr>
        <w:spacing w:line="560" w:lineRule="exact"/>
        <w:ind w:firstLine="4393" w:firstLineChars="1569"/>
        <w:rPr>
          <w:rFonts w:ascii="仿宋" w:hAnsi="仿宋" w:eastAsia="仿宋"/>
          <w:sz w:val="28"/>
          <w:szCs w:val="28"/>
        </w:rPr>
      </w:pPr>
      <w:r>
        <w:rPr>
          <w:rFonts w:hint="eastAsia" w:ascii="仿宋" w:hAnsi="仿宋" w:eastAsia="仿宋"/>
          <w:sz w:val="28"/>
          <w:szCs w:val="28"/>
        </w:rPr>
        <w:t>承诺人（盖章、签名手印）：</w:t>
      </w:r>
    </w:p>
    <w:p w14:paraId="553BA551">
      <w:pPr>
        <w:spacing w:line="560" w:lineRule="exact"/>
        <w:ind w:firstLine="4393" w:firstLineChars="1569"/>
        <w:rPr>
          <w:rFonts w:ascii="仿宋" w:hAnsi="仿宋" w:eastAsia="仿宋"/>
          <w:sz w:val="28"/>
          <w:szCs w:val="28"/>
        </w:rPr>
      </w:pPr>
    </w:p>
    <w:p w14:paraId="1A5C83BA">
      <w:pPr>
        <w:spacing w:line="560" w:lineRule="exact"/>
        <w:ind w:firstLine="4393" w:firstLineChars="1569"/>
        <w:rPr>
          <w:rFonts w:ascii="仿宋" w:hAnsi="仿宋" w:eastAsia="仿宋"/>
          <w:sz w:val="28"/>
          <w:szCs w:val="28"/>
        </w:rPr>
      </w:pPr>
      <w:r>
        <w:rPr>
          <w:rFonts w:hint="eastAsia" w:ascii="仿宋" w:hAnsi="仿宋" w:eastAsia="仿宋"/>
          <w:sz w:val="28"/>
          <w:szCs w:val="28"/>
        </w:rPr>
        <w:t>二〇二五年  月  日</w:t>
      </w:r>
    </w:p>
    <w:p w14:paraId="157AE78F">
      <w:pPr>
        <w:rPr>
          <w:rFonts w:ascii="幼圆" w:hAnsi="宋体" w:eastAsia="幼圆"/>
          <w:b/>
          <w:color w:val="000000"/>
          <w:sz w:val="28"/>
          <w:szCs w:val="28"/>
        </w:rPr>
      </w:pPr>
    </w:p>
    <w:p w14:paraId="3D1C8D8E">
      <w:pPr>
        <w:rPr>
          <w:rFonts w:ascii="幼圆" w:hAnsi="宋体" w:eastAsia="幼圆"/>
          <w:b/>
          <w:color w:val="000000"/>
          <w:sz w:val="28"/>
          <w:szCs w:val="28"/>
        </w:rPr>
      </w:pPr>
    </w:p>
    <w:p w14:paraId="422A0BE9">
      <w:pPr>
        <w:rPr>
          <w:rFonts w:ascii="幼圆" w:hAnsi="宋体" w:eastAsia="幼圆"/>
          <w:b/>
          <w:color w:val="000000"/>
          <w:sz w:val="28"/>
          <w:szCs w:val="28"/>
        </w:rPr>
      </w:pPr>
    </w:p>
    <w:p w14:paraId="0379E404">
      <w:pPr>
        <w:rPr>
          <w:rFonts w:ascii="幼圆" w:hAnsi="宋体" w:eastAsia="幼圆"/>
          <w:b/>
          <w:color w:val="000000"/>
          <w:sz w:val="28"/>
          <w:szCs w:val="28"/>
        </w:rPr>
      </w:pPr>
    </w:p>
    <w:p w14:paraId="50C3F94B">
      <w:pPr>
        <w:rPr>
          <w:rFonts w:ascii="幼圆" w:hAnsi="宋体" w:eastAsia="幼圆"/>
          <w:b/>
          <w:color w:val="000000"/>
          <w:sz w:val="28"/>
          <w:szCs w:val="28"/>
        </w:rPr>
      </w:pPr>
      <w:r>
        <w:rPr>
          <w:rFonts w:hint="eastAsia" w:ascii="幼圆" w:hAnsi="宋体" w:eastAsia="幼圆"/>
          <w:b/>
          <w:color w:val="000000"/>
          <w:sz w:val="28"/>
          <w:szCs w:val="28"/>
        </w:rPr>
        <w:t>附件6：土地租赁合同</w:t>
      </w:r>
    </w:p>
    <w:p w14:paraId="2352A1FF">
      <w:pPr>
        <w:spacing w:line="720" w:lineRule="auto"/>
        <w:jc w:val="center"/>
        <w:rPr>
          <w:rFonts w:ascii="宋体" w:hAnsi="宋体"/>
          <w:b/>
          <w:color w:val="000000"/>
          <w:sz w:val="32"/>
          <w:szCs w:val="32"/>
        </w:rPr>
      </w:pPr>
      <w:r>
        <w:rPr>
          <w:rFonts w:hint="eastAsia" w:ascii="宋体" w:hAnsi="宋体"/>
          <w:b/>
          <w:color w:val="000000"/>
          <w:sz w:val="32"/>
          <w:szCs w:val="32"/>
        </w:rPr>
        <w:t>土地租赁合同</w:t>
      </w:r>
    </w:p>
    <w:p w14:paraId="39BFED9F">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甲方(出租人): 盐城市新滩盐场实业发展有限公司</w:t>
      </w:r>
    </w:p>
    <w:p w14:paraId="70238886">
      <w:pPr>
        <w:spacing w:line="560" w:lineRule="exact"/>
        <w:ind w:firstLine="565" w:firstLineChars="202"/>
        <w:rPr>
          <w:rFonts w:ascii="仿宋" w:hAnsi="仿宋" w:eastAsia="仿宋"/>
          <w:color w:val="000000"/>
          <w:sz w:val="28"/>
          <w:szCs w:val="28"/>
          <w:u w:val="single"/>
        </w:rPr>
      </w:pPr>
      <w:r>
        <w:rPr>
          <w:rFonts w:hint="eastAsia" w:ascii="仿宋" w:hAnsi="仿宋" w:eastAsia="仿宋"/>
          <w:color w:val="000000"/>
          <w:sz w:val="28"/>
          <w:szCs w:val="28"/>
        </w:rPr>
        <w:t>乙方(承租人):</w:t>
      </w:r>
    </w:p>
    <w:p w14:paraId="3B88CFFE">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为充分利用土地资源，本着互惠互利、共同发展原则，根据我国《民法典》等法律规定和经新滩盐场闲置土地出租招租评审结果，经甲乙双方协商，就乙方中标的</w:t>
      </w:r>
      <w:r>
        <w:rPr>
          <w:rFonts w:hint="eastAsia" w:ascii="仿宋" w:hAnsi="仿宋" w:eastAsia="仿宋"/>
          <w:color w:val="auto"/>
          <w:sz w:val="28"/>
          <w:szCs w:val="28"/>
        </w:rPr>
        <w:t>土地</w:t>
      </w:r>
      <w:r>
        <w:rPr>
          <w:rFonts w:hint="eastAsia" w:ascii="仿宋" w:hAnsi="仿宋" w:eastAsia="仿宋"/>
          <w:color w:val="000000"/>
          <w:sz w:val="28"/>
          <w:szCs w:val="28"/>
        </w:rPr>
        <w:t>签订本租赁合同。</w:t>
      </w:r>
    </w:p>
    <w:p w14:paraId="3AF8334E">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 xml:space="preserve"> 一、租赁物的概况</w:t>
      </w:r>
    </w:p>
    <w:p w14:paraId="3BA2A6C3">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租赁物:位于</w:t>
      </w:r>
      <w:r>
        <w:rPr>
          <w:rFonts w:hint="eastAsia" w:ascii="仿宋" w:hAnsi="仿宋" w:eastAsia="仿宋"/>
          <w:color w:val="000000"/>
          <w:sz w:val="28"/>
          <w:szCs w:val="28"/>
          <w:u w:val="single"/>
        </w:rPr>
        <w:t xml:space="preserve"> 新滩盐场水厂南地块、斜拉桥北地块</w:t>
      </w:r>
      <w:r>
        <w:rPr>
          <w:rFonts w:hint="eastAsia" w:ascii="仿宋" w:hAnsi="仿宋" w:eastAsia="仿宋"/>
          <w:color w:val="000000"/>
          <w:sz w:val="28"/>
          <w:szCs w:val="28"/>
        </w:rPr>
        <w:t xml:space="preserve">闲置土地,租赁面积为5610亩。 </w:t>
      </w:r>
    </w:p>
    <w:p w14:paraId="477E8826">
      <w:pPr>
        <w:spacing w:line="560" w:lineRule="exact"/>
        <w:ind w:firstLine="565" w:firstLineChars="202"/>
        <w:rPr>
          <w:rFonts w:ascii="仿宋" w:hAnsi="仿宋" w:eastAsia="仿宋"/>
          <w:sz w:val="28"/>
          <w:szCs w:val="28"/>
        </w:rPr>
      </w:pPr>
      <w:r>
        <w:rPr>
          <w:rFonts w:hint="eastAsia" w:ascii="仿宋" w:hAnsi="仿宋" w:eastAsia="仿宋"/>
          <w:color w:val="000000"/>
          <w:sz w:val="28"/>
          <w:szCs w:val="28"/>
        </w:rPr>
        <w:t>上述土地均以现状出租，在租赁期间，甲方不再就池塘及其附属设施的维护、修缮等进行资金投入。</w:t>
      </w:r>
      <w:r>
        <w:rPr>
          <w:rFonts w:hint="eastAsia" w:ascii="仿宋" w:hAnsi="仿宋" w:eastAsia="仿宋"/>
          <w:sz w:val="28"/>
          <w:szCs w:val="28"/>
        </w:rPr>
        <w:t>如承租人需对土地及其设施进行改造或添置的，所有改造费用由承租人自行承担，租期届满时，承租人对土地及其设施进行改造或添置而形成的资产无偿转归招租人所有，招租人不予任何补偿。如因承租人以土地或设施等费用补偿问题为由拒绝或拖延交还到期土地的，承租人除须向招租人承担合同约定的占用费外，还须向招租人支付惩罚性违约金人民币100万元。</w:t>
      </w:r>
    </w:p>
    <w:p w14:paraId="3542098E">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在本合同签署后，乙方应及时自行进驻池塘并开展</w:t>
      </w:r>
      <w:r>
        <w:rPr>
          <w:rFonts w:hint="eastAsia" w:ascii="仿宋" w:hAnsi="仿宋" w:eastAsia="仿宋"/>
          <w:color w:val="auto"/>
          <w:sz w:val="28"/>
          <w:szCs w:val="28"/>
        </w:rPr>
        <w:t>匡围整</w:t>
      </w:r>
      <w:r>
        <w:rPr>
          <w:rFonts w:hint="eastAsia" w:ascii="仿宋" w:hAnsi="仿宋" w:eastAsia="仿宋"/>
          <w:color w:val="000000"/>
          <w:sz w:val="28"/>
          <w:szCs w:val="28"/>
        </w:rPr>
        <w:t>理改造、养殖活动，双方签署上述土地及其设施的交接手续，双方对此均无异议。</w:t>
      </w:r>
    </w:p>
    <w:p w14:paraId="49D8F818">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二、租赁用途</w:t>
      </w:r>
    </w:p>
    <w:p w14:paraId="57BEFFD5">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租赁土地只能改造成</w:t>
      </w:r>
      <w:r>
        <w:rPr>
          <w:rFonts w:hint="eastAsia" w:ascii="仿宋" w:hAnsi="仿宋" w:eastAsia="仿宋"/>
          <w:color w:val="auto"/>
          <w:sz w:val="28"/>
          <w:szCs w:val="28"/>
        </w:rPr>
        <w:t>匡围从事养殖生产，</w:t>
      </w:r>
      <w:r>
        <w:rPr>
          <w:rFonts w:hint="eastAsia" w:ascii="仿宋" w:hAnsi="仿宋" w:eastAsia="仿宋"/>
          <w:color w:val="000000"/>
          <w:sz w:val="28"/>
          <w:szCs w:val="28"/>
        </w:rPr>
        <w:t xml:space="preserve">乙方不得从事其他行业生产。 </w:t>
      </w:r>
    </w:p>
    <w:p w14:paraId="5648EDBA">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三、租赁期限</w:t>
      </w:r>
    </w:p>
    <w:p w14:paraId="3BE81A5C">
      <w:pPr>
        <w:pStyle w:val="11"/>
        <w:spacing w:line="500" w:lineRule="exact"/>
        <w:ind w:firstLine="560" w:firstLineChars="200"/>
        <w:rPr>
          <w:rFonts w:ascii="仿宋" w:hAnsi="仿宋" w:eastAsia="仿宋"/>
          <w:sz w:val="28"/>
          <w:szCs w:val="28"/>
        </w:rPr>
      </w:pPr>
      <w:r>
        <w:rPr>
          <w:rFonts w:hint="eastAsia" w:ascii="仿宋" w:hAnsi="仿宋" w:eastAsia="仿宋"/>
          <w:color w:val="000000"/>
          <w:sz w:val="28"/>
          <w:szCs w:val="28"/>
        </w:rPr>
        <w:t>本合同租赁期限为</w:t>
      </w:r>
      <w:r>
        <w:rPr>
          <w:rFonts w:hint="eastAsia" w:ascii="仿宋" w:hAnsi="仿宋" w:eastAsia="仿宋"/>
          <w:color w:val="000000"/>
          <w:sz w:val="28"/>
          <w:szCs w:val="28"/>
          <w:u w:val="single"/>
        </w:rPr>
        <w:t xml:space="preserve"> 12 </w:t>
      </w:r>
      <w:r>
        <w:rPr>
          <w:rFonts w:hint="eastAsia" w:ascii="仿宋" w:hAnsi="仿宋" w:eastAsia="仿宋"/>
          <w:color w:val="000000"/>
          <w:sz w:val="28"/>
          <w:szCs w:val="28"/>
        </w:rPr>
        <w:t>个月，即租期自甲方实际交付池塘之日起至20</w:t>
      </w:r>
      <w:r>
        <w:rPr>
          <w:rFonts w:hint="eastAsia" w:ascii="仿宋" w:hAnsi="仿宋" w:eastAsia="仿宋"/>
          <w:color w:val="000000"/>
          <w:sz w:val="28"/>
          <w:szCs w:val="28"/>
          <w:u w:val="single"/>
        </w:rPr>
        <w:t xml:space="preserve"> 25</w:t>
      </w:r>
      <w:r>
        <w:rPr>
          <w:rFonts w:hint="eastAsia" w:ascii="仿宋" w:hAnsi="仿宋" w:eastAsia="仿宋"/>
          <w:color w:val="000000"/>
          <w:sz w:val="28"/>
          <w:szCs w:val="28"/>
        </w:rPr>
        <w:t>年</w:t>
      </w:r>
      <w:r>
        <w:rPr>
          <w:rFonts w:hint="eastAsia" w:ascii="仿宋" w:hAnsi="仿宋" w:eastAsia="仿宋"/>
          <w:color w:val="000000"/>
          <w:sz w:val="28"/>
          <w:szCs w:val="28"/>
          <w:u w:val="single"/>
        </w:rPr>
        <w:t xml:space="preserve"> 12 </w:t>
      </w:r>
      <w:r>
        <w:rPr>
          <w:rFonts w:hint="eastAsia" w:ascii="仿宋" w:hAnsi="仿宋" w:eastAsia="仿宋"/>
          <w:color w:val="000000"/>
          <w:sz w:val="28"/>
          <w:szCs w:val="28"/>
        </w:rPr>
        <w:t>月</w:t>
      </w:r>
      <w:r>
        <w:rPr>
          <w:rFonts w:hint="eastAsia" w:ascii="仿宋" w:hAnsi="仿宋" w:eastAsia="仿宋"/>
          <w:color w:val="000000"/>
          <w:sz w:val="28"/>
          <w:szCs w:val="28"/>
          <w:u w:val="single"/>
        </w:rPr>
        <w:t xml:space="preserve"> 31 </w:t>
      </w:r>
      <w:r>
        <w:rPr>
          <w:rFonts w:hint="eastAsia" w:ascii="仿宋" w:hAnsi="仿宋" w:eastAsia="仿宋"/>
          <w:color w:val="000000"/>
          <w:sz w:val="28"/>
          <w:szCs w:val="28"/>
        </w:rPr>
        <w:t>日止（</w:t>
      </w:r>
      <w:r>
        <w:rPr>
          <w:rFonts w:hint="eastAsia" w:ascii="仿宋" w:hAnsi="仿宋" w:eastAsia="仿宋"/>
          <w:sz w:val="28"/>
          <w:szCs w:val="28"/>
        </w:rPr>
        <w:t>租期届满时，如乙方无违约行为的，甲方视项目用地需求情况可以决定延长租期（最迟延长至2027年12月31日），续租面积由甲方根据落地项目的进度情况进行调减。</w:t>
      </w:r>
    </w:p>
    <w:p w14:paraId="19E95F6D">
      <w:pPr>
        <w:pStyle w:val="11"/>
        <w:spacing w:line="500" w:lineRule="exact"/>
        <w:ind w:firstLine="560" w:firstLineChars="200"/>
        <w:rPr>
          <w:rFonts w:ascii="仿宋" w:hAnsi="仿宋" w:eastAsia="仿宋"/>
          <w:color w:val="E97132" w:themeColor="accent2"/>
          <w:sz w:val="28"/>
          <w:szCs w:val="28"/>
          <w14:textFill>
            <w14:solidFill>
              <w14:schemeClr w14:val="accent2"/>
            </w14:solidFill>
          </w14:textFill>
        </w:rPr>
      </w:pPr>
      <w:r>
        <w:rPr>
          <w:rFonts w:hint="eastAsia" w:ascii="仿宋" w:hAnsi="仿宋" w:eastAsia="仿宋"/>
          <w:sz w:val="28"/>
          <w:szCs w:val="28"/>
        </w:rPr>
        <w:t>在延长租期期间，如甲方或其关联单位、地方政府招商引资企业项目落地需要使用该租赁土地/池塘的，则甲方有权决定不再续租，且不承担违约责任，也不承担补偿或赔偿责任。</w:t>
      </w:r>
    </w:p>
    <w:p w14:paraId="2FFE8157">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四、租赁费用及履约保证金</w:t>
      </w:r>
    </w:p>
    <w:p w14:paraId="02BD6357">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1.租金标准为人民币元/亩/年(固定单价、含税价)；</w:t>
      </w:r>
    </w:p>
    <w:p w14:paraId="78C500B6">
      <w:pPr>
        <w:spacing w:line="560" w:lineRule="exact"/>
        <w:ind w:firstLine="565" w:firstLineChars="202"/>
        <w:jc w:val="left"/>
        <w:rPr>
          <w:rFonts w:ascii="仿宋" w:hAnsi="仿宋" w:eastAsia="仿宋"/>
          <w:b/>
          <w:color w:val="000000"/>
          <w:sz w:val="24"/>
          <w:szCs w:val="24"/>
        </w:rPr>
      </w:pPr>
      <w:r>
        <w:rPr>
          <w:rFonts w:hint="eastAsia" w:ascii="仿宋" w:hAnsi="仿宋" w:eastAsia="仿宋"/>
          <w:color w:val="000000"/>
          <w:sz w:val="28"/>
          <w:szCs w:val="28"/>
        </w:rPr>
        <w:t xml:space="preserve">2.租金缴纳：本租赁合同采用“先付后用，一年一付”原则，租金及其支付时间如下表：                </w:t>
      </w:r>
      <w:r>
        <w:rPr>
          <w:rFonts w:hint="eastAsia" w:ascii="仿宋" w:hAnsi="仿宋" w:eastAsia="仿宋"/>
          <w:b/>
          <w:color w:val="000000"/>
          <w:sz w:val="24"/>
          <w:szCs w:val="24"/>
        </w:rPr>
        <w:t xml:space="preserve">  (租金单位：人民币元)</w:t>
      </w:r>
    </w:p>
    <w:tbl>
      <w:tblPr>
        <w:tblStyle w:val="2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04"/>
        <w:gridCol w:w="4006"/>
        <w:gridCol w:w="1835"/>
        <w:gridCol w:w="2177"/>
      </w:tblGrid>
      <w:tr w14:paraId="0E698B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jc w:val="center"/>
        </w:trPr>
        <w:tc>
          <w:tcPr>
            <w:tcW w:w="504" w:type="dxa"/>
            <w:tcBorders>
              <w:top w:val="single" w:color="auto" w:sz="4" w:space="0"/>
              <w:left w:val="single" w:color="auto" w:sz="4" w:space="0"/>
              <w:bottom w:val="single" w:color="auto" w:sz="4" w:space="0"/>
              <w:right w:val="single" w:color="auto" w:sz="4" w:space="0"/>
            </w:tcBorders>
            <w:vAlign w:val="center"/>
          </w:tcPr>
          <w:p w14:paraId="12719ABB">
            <w:pPr>
              <w:spacing w:line="560" w:lineRule="exact"/>
              <w:jc w:val="center"/>
              <w:rPr>
                <w:rFonts w:ascii="仿宋" w:hAnsi="仿宋" w:eastAsia="仿宋"/>
                <w:color w:val="000000"/>
                <w:kern w:val="0"/>
                <w:sz w:val="24"/>
                <w:szCs w:val="24"/>
              </w:rPr>
            </w:pPr>
            <w:r>
              <w:rPr>
                <w:rFonts w:hint="eastAsia" w:ascii="仿宋" w:hAnsi="仿宋" w:eastAsia="仿宋"/>
                <w:color w:val="000000"/>
                <w:kern w:val="0"/>
                <w:sz w:val="24"/>
                <w:szCs w:val="24"/>
              </w:rPr>
              <w:t>序</w:t>
            </w:r>
          </w:p>
        </w:tc>
        <w:tc>
          <w:tcPr>
            <w:tcW w:w="4006" w:type="dxa"/>
            <w:tcBorders>
              <w:top w:val="single" w:color="auto" w:sz="4" w:space="0"/>
              <w:left w:val="single" w:color="auto" w:sz="4" w:space="0"/>
              <w:bottom w:val="single" w:color="auto" w:sz="4" w:space="0"/>
              <w:right w:val="single" w:color="auto" w:sz="4" w:space="0"/>
            </w:tcBorders>
            <w:vAlign w:val="center"/>
          </w:tcPr>
          <w:p w14:paraId="4844054A">
            <w:pPr>
              <w:spacing w:line="560" w:lineRule="exact"/>
              <w:jc w:val="center"/>
              <w:rPr>
                <w:rFonts w:ascii="仿宋" w:hAnsi="仿宋" w:eastAsia="仿宋"/>
                <w:color w:val="000000"/>
                <w:kern w:val="0"/>
                <w:sz w:val="24"/>
                <w:szCs w:val="24"/>
              </w:rPr>
            </w:pPr>
            <w:r>
              <w:rPr>
                <w:rFonts w:hint="eastAsia" w:ascii="仿宋" w:hAnsi="仿宋" w:eastAsia="仿宋"/>
                <w:color w:val="000000"/>
                <w:kern w:val="0"/>
                <w:sz w:val="24"/>
                <w:szCs w:val="24"/>
              </w:rPr>
              <w:t>缴纳租金的租期时段</w:t>
            </w:r>
          </w:p>
        </w:tc>
        <w:tc>
          <w:tcPr>
            <w:tcW w:w="1835" w:type="dxa"/>
            <w:tcBorders>
              <w:top w:val="single" w:color="auto" w:sz="4" w:space="0"/>
              <w:left w:val="single" w:color="auto" w:sz="4" w:space="0"/>
              <w:bottom w:val="single" w:color="auto" w:sz="4" w:space="0"/>
              <w:right w:val="single" w:color="auto" w:sz="4" w:space="0"/>
            </w:tcBorders>
            <w:vAlign w:val="center"/>
          </w:tcPr>
          <w:p w14:paraId="6A472A20">
            <w:pPr>
              <w:spacing w:line="560" w:lineRule="exact"/>
              <w:jc w:val="center"/>
              <w:rPr>
                <w:rFonts w:ascii="仿宋" w:hAnsi="仿宋" w:eastAsia="仿宋"/>
                <w:color w:val="000000"/>
                <w:kern w:val="0"/>
                <w:sz w:val="24"/>
                <w:szCs w:val="24"/>
              </w:rPr>
            </w:pPr>
            <w:r>
              <w:rPr>
                <w:rFonts w:hint="eastAsia" w:ascii="仿宋" w:hAnsi="仿宋" w:eastAsia="仿宋"/>
                <w:color w:val="000000"/>
                <w:kern w:val="0"/>
                <w:sz w:val="24"/>
                <w:szCs w:val="24"/>
              </w:rPr>
              <w:t>当期租金金额</w:t>
            </w:r>
          </w:p>
        </w:tc>
        <w:tc>
          <w:tcPr>
            <w:tcW w:w="2177" w:type="dxa"/>
            <w:tcBorders>
              <w:top w:val="single" w:color="auto" w:sz="4" w:space="0"/>
              <w:left w:val="single" w:color="auto" w:sz="4" w:space="0"/>
              <w:bottom w:val="single" w:color="auto" w:sz="4" w:space="0"/>
              <w:right w:val="single" w:color="auto" w:sz="4" w:space="0"/>
            </w:tcBorders>
            <w:vAlign w:val="center"/>
          </w:tcPr>
          <w:p w14:paraId="0C98A7A6">
            <w:pPr>
              <w:spacing w:line="560" w:lineRule="exact"/>
              <w:jc w:val="center"/>
              <w:rPr>
                <w:rFonts w:ascii="仿宋" w:hAnsi="仿宋" w:eastAsia="仿宋"/>
                <w:color w:val="000000"/>
                <w:kern w:val="0"/>
                <w:sz w:val="24"/>
                <w:szCs w:val="24"/>
              </w:rPr>
            </w:pPr>
            <w:r>
              <w:rPr>
                <w:rFonts w:hint="eastAsia" w:ascii="仿宋" w:hAnsi="仿宋" w:eastAsia="仿宋"/>
                <w:color w:val="000000"/>
                <w:kern w:val="0"/>
                <w:sz w:val="24"/>
                <w:szCs w:val="24"/>
              </w:rPr>
              <w:t>租金缴纳时限</w:t>
            </w:r>
          </w:p>
        </w:tc>
      </w:tr>
      <w:tr w14:paraId="321B29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4" w:type="dxa"/>
            <w:tcBorders>
              <w:top w:val="single" w:color="auto" w:sz="4" w:space="0"/>
              <w:left w:val="single" w:color="auto" w:sz="4" w:space="0"/>
              <w:bottom w:val="single" w:color="auto" w:sz="4" w:space="0"/>
              <w:right w:val="single" w:color="auto" w:sz="4" w:space="0"/>
            </w:tcBorders>
            <w:vAlign w:val="center"/>
          </w:tcPr>
          <w:p w14:paraId="777DF89C">
            <w:pPr>
              <w:spacing w:line="560" w:lineRule="exact"/>
              <w:jc w:val="center"/>
              <w:rPr>
                <w:rFonts w:ascii="仿宋" w:hAnsi="仿宋" w:eastAsia="仿宋"/>
                <w:color w:val="000000"/>
                <w:kern w:val="0"/>
                <w:sz w:val="24"/>
                <w:szCs w:val="24"/>
              </w:rPr>
            </w:pPr>
            <w:r>
              <w:rPr>
                <w:rFonts w:hint="eastAsia" w:ascii="仿宋" w:hAnsi="仿宋" w:eastAsia="仿宋"/>
                <w:color w:val="000000"/>
                <w:kern w:val="0"/>
                <w:sz w:val="24"/>
                <w:szCs w:val="24"/>
              </w:rPr>
              <w:t>1</w:t>
            </w:r>
          </w:p>
        </w:tc>
        <w:tc>
          <w:tcPr>
            <w:tcW w:w="4006" w:type="dxa"/>
            <w:tcBorders>
              <w:top w:val="single" w:color="auto" w:sz="4" w:space="0"/>
              <w:left w:val="single" w:color="auto" w:sz="4" w:space="0"/>
              <w:bottom w:val="single" w:color="auto" w:sz="4" w:space="0"/>
              <w:right w:val="single" w:color="auto" w:sz="4" w:space="0"/>
            </w:tcBorders>
            <w:vAlign w:val="center"/>
          </w:tcPr>
          <w:p w14:paraId="2C59AC70">
            <w:pPr>
              <w:spacing w:line="560" w:lineRule="exact"/>
              <w:jc w:val="center"/>
              <w:rPr>
                <w:rFonts w:ascii="仿宋" w:hAnsi="仿宋" w:eastAsia="仿宋"/>
                <w:color w:val="000000"/>
                <w:kern w:val="0"/>
                <w:sz w:val="24"/>
                <w:szCs w:val="24"/>
                <w:shd w:val="pct10" w:color="auto" w:fill="FFFFFF"/>
              </w:rPr>
            </w:pPr>
            <w:r>
              <w:rPr>
                <w:rFonts w:hint="eastAsia" w:ascii="仿宋" w:hAnsi="仿宋" w:eastAsia="仿宋"/>
                <w:color w:val="000000"/>
                <w:kern w:val="0"/>
                <w:sz w:val="24"/>
                <w:szCs w:val="24"/>
                <w:shd w:val="pct10" w:color="auto" w:fill="FFFFFF"/>
              </w:rPr>
              <w:t>2025年  月  日-2025年12月31 日</w:t>
            </w:r>
          </w:p>
        </w:tc>
        <w:tc>
          <w:tcPr>
            <w:tcW w:w="1835" w:type="dxa"/>
            <w:tcBorders>
              <w:top w:val="single" w:color="auto" w:sz="4" w:space="0"/>
              <w:left w:val="single" w:color="auto" w:sz="4" w:space="0"/>
              <w:bottom w:val="single" w:color="auto" w:sz="4" w:space="0"/>
              <w:right w:val="single" w:color="auto" w:sz="4" w:space="0"/>
            </w:tcBorders>
            <w:vAlign w:val="center"/>
          </w:tcPr>
          <w:p w14:paraId="5CE3B2EB">
            <w:pPr>
              <w:spacing w:line="560" w:lineRule="exact"/>
              <w:jc w:val="center"/>
              <w:rPr>
                <w:rFonts w:ascii="仿宋" w:hAnsi="仿宋" w:eastAsia="仿宋"/>
                <w:color w:val="000000"/>
                <w:kern w:val="0"/>
                <w:sz w:val="24"/>
                <w:szCs w:val="24"/>
                <w:shd w:val="pct10" w:color="auto" w:fill="FFFFFF"/>
              </w:rPr>
            </w:pPr>
          </w:p>
        </w:tc>
        <w:tc>
          <w:tcPr>
            <w:tcW w:w="2177" w:type="dxa"/>
            <w:tcBorders>
              <w:top w:val="single" w:color="auto" w:sz="4" w:space="0"/>
              <w:left w:val="single" w:color="auto" w:sz="4" w:space="0"/>
              <w:bottom w:val="single" w:color="auto" w:sz="4" w:space="0"/>
              <w:right w:val="single" w:color="auto" w:sz="4" w:space="0"/>
            </w:tcBorders>
            <w:vAlign w:val="center"/>
          </w:tcPr>
          <w:p w14:paraId="0CB8168B">
            <w:pPr>
              <w:spacing w:line="560" w:lineRule="exact"/>
              <w:jc w:val="center"/>
              <w:rPr>
                <w:rFonts w:ascii="仿宋" w:hAnsi="仿宋" w:eastAsia="仿宋"/>
                <w:color w:val="000000"/>
                <w:kern w:val="0"/>
                <w:sz w:val="24"/>
                <w:szCs w:val="24"/>
                <w:shd w:val="pct10" w:color="auto" w:fill="FFFFFF"/>
              </w:rPr>
            </w:pPr>
            <w:r>
              <w:rPr>
                <w:rFonts w:hint="eastAsia" w:ascii="仿宋" w:hAnsi="仿宋" w:eastAsia="仿宋"/>
                <w:color w:val="000000"/>
                <w:kern w:val="0"/>
                <w:sz w:val="24"/>
                <w:szCs w:val="24"/>
                <w:shd w:val="pct10" w:color="auto" w:fill="FFFFFF"/>
              </w:rPr>
              <w:t>双方签署中标确认书后7日内付清</w:t>
            </w:r>
          </w:p>
        </w:tc>
      </w:tr>
    </w:tbl>
    <w:p w14:paraId="6C892410">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3.如果续租的，则第二年和第三年的租金标准如下：</w:t>
      </w:r>
    </w:p>
    <w:p w14:paraId="6198FD55">
      <w:pPr>
        <w:spacing w:line="560" w:lineRule="exact"/>
        <w:ind w:firstLine="565" w:firstLineChars="202"/>
        <w:rPr>
          <w:rFonts w:ascii="仿宋" w:hAnsi="仿宋" w:eastAsia="仿宋"/>
          <w:color w:val="auto"/>
          <w:sz w:val="28"/>
          <w:szCs w:val="28"/>
        </w:rPr>
      </w:pPr>
      <w:r>
        <w:rPr>
          <w:rFonts w:hint="eastAsia" w:ascii="仿宋" w:hAnsi="仿宋" w:eastAsia="仿宋"/>
          <w:color w:val="auto"/>
          <w:sz w:val="28"/>
          <w:szCs w:val="28"/>
        </w:rPr>
        <w:t>（1）</w:t>
      </w:r>
      <w:bookmarkStart w:id="2" w:name="OLE_LINK6"/>
      <w:r>
        <w:rPr>
          <w:rFonts w:hint="eastAsia" w:ascii="仿宋" w:hAnsi="仿宋" w:eastAsia="仿宋"/>
          <w:color w:val="auto"/>
          <w:sz w:val="28"/>
          <w:szCs w:val="28"/>
        </w:rPr>
        <w:t>水厂南地块</w:t>
      </w:r>
      <w:r>
        <w:rPr>
          <w:rFonts w:hint="eastAsia" w:ascii="仿宋" w:hAnsi="仿宋" w:eastAsia="仿宋"/>
          <w:color w:val="auto"/>
          <w:sz w:val="28"/>
          <w:szCs w:val="28"/>
          <w:lang w:eastAsia="zh-CN"/>
        </w:rPr>
        <w:t>、</w:t>
      </w:r>
      <w:r>
        <w:rPr>
          <w:rFonts w:hint="eastAsia" w:ascii="仿宋" w:hAnsi="仿宋" w:eastAsia="仿宋"/>
          <w:color w:val="auto"/>
          <w:sz w:val="28"/>
          <w:szCs w:val="28"/>
        </w:rPr>
        <w:t>斜拉桥北地块的第二年租赁单价</w:t>
      </w:r>
      <w:bookmarkEnd w:id="2"/>
      <w:r>
        <w:rPr>
          <w:rFonts w:hint="eastAsia" w:ascii="仿宋" w:hAnsi="仿宋" w:eastAsia="仿宋"/>
          <w:color w:val="auto"/>
          <w:sz w:val="28"/>
          <w:szCs w:val="28"/>
        </w:rPr>
        <w:t>：390元/亩</w:t>
      </w:r>
      <w:bookmarkStart w:id="3" w:name="OLE_LINK17"/>
      <w:r>
        <w:rPr>
          <w:rFonts w:hint="eastAsia" w:ascii="仿宋" w:hAnsi="仿宋" w:eastAsia="仿宋"/>
          <w:color w:val="auto"/>
          <w:sz w:val="28"/>
          <w:szCs w:val="28"/>
          <w:lang w:val="en-US" w:eastAsia="zh-CN"/>
        </w:rPr>
        <w:t>乘以第一年中标价与竞租底价上浮率</w:t>
      </w:r>
      <w:r>
        <w:rPr>
          <w:rFonts w:hint="eastAsia" w:ascii="仿宋" w:hAnsi="仿宋" w:eastAsia="仿宋"/>
          <w:color w:val="auto"/>
          <w:sz w:val="28"/>
          <w:szCs w:val="28"/>
        </w:rPr>
        <w:t>；</w:t>
      </w:r>
    </w:p>
    <w:bookmarkEnd w:id="3"/>
    <w:p w14:paraId="74D3F29A">
      <w:pPr>
        <w:spacing w:line="560" w:lineRule="exact"/>
        <w:ind w:firstLine="565" w:firstLineChars="202"/>
        <w:rPr>
          <w:rFonts w:ascii="仿宋" w:hAnsi="仿宋" w:eastAsia="仿宋"/>
          <w:color w:val="auto"/>
          <w:sz w:val="28"/>
          <w:szCs w:val="28"/>
        </w:rPr>
      </w:pPr>
      <w:r>
        <w:rPr>
          <w:rFonts w:hint="eastAsia" w:ascii="仿宋" w:hAnsi="仿宋" w:eastAsia="仿宋"/>
          <w:color w:val="auto"/>
          <w:sz w:val="28"/>
          <w:szCs w:val="28"/>
        </w:rPr>
        <w:t>（2）水厂南地块</w:t>
      </w:r>
      <w:r>
        <w:rPr>
          <w:rFonts w:hint="eastAsia" w:ascii="仿宋" w:hAnsi="仿宋" w:eastAsia="仿宋"/>
          <w:color w:val="auto"/>
          <w:sz w:val="28"/>
          <w:szCs w:val="28"/>
          <w:lang w:eastAsia="zh-CN"/>
        </w:rPr>
        <w:t>、</w:t>
      </w:r>
      <w:r>
        <w:rPr>
          <w:rFonts w:hint="eastAsia" w:ascii="仿宋" w:hAnsi="仿宋" w:eastAsia="仿宋"/>
          <w:color w:val="auto"/>
          <w:sz w:val="28"/>
          <w:szCs w:val="28"/>
        </w:rPr>
        <w:t>斜拉桥北地块的第</w:t>
      </w:r>
      <w:r>
        <w:rPr>
          <w:rFonts w:hint="eastAsia" w:ascii="仿宋" w:hAnsi="仿宋" w:eastAsia="仿宋"/>
          <w:color w:val="auto"/>
          <w:sz w:val="28"/>
          <w:szCs w:val="28"/>
          <w:lang w:val="en-US" w:eastAsia="zh-CN"/>
        </w:rPr>
        <w:t>三</w:t>
      </w:r>
      <w:r>
        <w:rPr>
          <w:rFonts w:hint="eastAsia" w:ascii="仿宋" w:hAnsi="仿宋" w:eastAsia="仿宋"/>
          <w:color w:val="auto"/>
          <w:sz w:val="28"/>
          <w:szCs w:val="28"/>
        </w:rPr>
        <w:t>年租赁单价：400元/亩</w:t>
      </w:r>
      <w:r>
        <w:rPr>
          <w:rFonts w:hint="eastAsia" w:ascii="仿宋" w:hAnsi="仿宋" w:eastAsia="仿宋"/>
          <w:color w:val="auto"/>
          <w:sz w:val="28"/>
          <w:szCs w:val="28"/>
          <w:lang w:val="en-US" w:eastAsia="zh-CN"/>
        </w:rPr>
        <w:t>乘以第一年中标价与竞租底价上浮率</w:t>
      </w:r>
      <w:r>
        <w:rPr>
          <w:rFonts w:hint="eastAsia" w:ascii="仿宋" w:hAnsi="仿宋" w:eastAsia="仿宋"/>
          <w:color w:val="auto"/>
          <w:sz w:val="28"/>
          <w:szCs w:val="28"/>
        </w:rPr>
        <w:t>；</w:t>
      </w:r>
    </w:p>
    <w:p w14:paraId="6037AACE">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对于第二年和第三年租金，承租人须在当年度租期开始之前缴清。</w:t>
      </w:r>
    </w:p>
    <w:p w14:paraId="296EC35E">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4．乙方必须按照上述所列租期金额和缴纳时限按时足额缴纳租金，且甲方无需对乙方进行租金到期的提醒。乙方缴费迟延或缴费不足的，均视为乙方构成严重违约。乙方出现逾期缴费或缴费不足时，自该缴纳租金的租期时段的起始之日起，本合同自动解除，同时，自该缴纳租金的租期时段的起始之日起至乙方实际交还租赁物之日止期间的占用费标准按照每年每亩元人民币计算（不低于年租金标准的1.5倍）。</w:t>
      </w:r>
    </w:p>
    <w:p w14:paraId="56A5A058">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5.本合同采用固定单价。如租赁实际面积发生误差的，以本租赁合同记载的面积为准进行租金结算，且甲方对面积误差不承担违约责任。</w:t>
      </w:r>
    </w:p>
    <w:p w14:paraId="1AF34301">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6.履约保证金</w:t>
      </w:r>
    </w:p>
    <w:p w14:paraId="59022CA5">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本合同的履约保证金为</w:t>
      </w:r>
      <w:r>
        <w:rPr>
          <w:rFonts w:hint="eastAsia" w:ascii="仿宋" w:hAnsi="仿宋" w:eastAsia="仿宋"/>
          <w:color w:val="000000"/>
          <w:sz w:val="28"/>
          <w:szCs w:val="28"/>
          <w:u w:val="single"/>
        </w:rPr>
        <w:t xml:space="preserve">     </w:t>
      </w:r>
      <w:r>
        <w:rPr>
          <w:rFonts w:hint="eastAsia" w:ascii="仿宋" w:hAnsi="仿宋" w:eastAsia="仿宋"/>
          <w:color w:val="000000"/>
          <w:sz w:val="28"/>
          <w:szCs w:val="28"/>
        </w:rPr>
        <w:t>元人民币，乙方须在本合同签订之前交清。在本合同租期内，如乙方无违约行为，在租赁期结束或期内合同终止/解除时，由甲方在五个工作日内免息返还履约保证金。因乙方违约致使合同解除或终止的，甲方有权没收乙方履约保证金。</w:t>
      </w:r>
    </w:p>
    <w:p w14:paraId="0B1C41CC">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7.其他费用</w:t>
      </w:r>
    </w:p>
    <w:p w14:paraId="209E6F47">
      <w:pPr>
        <w:spacing w:line="560" w:lineRule="exact"/>
        <w:ind w:firstLine="565" w:firstLineChars="202"/>
        <w:rPr>
          <w:rFonts w:hint="eastAsia" w:ascii="仿宋" w:hAnsi="仿宋" w:eastAsia="仿宋"/>
          <w:color w:val="000000"/>
          <w:sz w:val="28"/>
          <w:szCs w:val="28"/>
        </w:rPr>
      </w:pPr>
      <w:r>
        <w:rPr>
          <w:rFonts w:hint="eastAsia" w:ascii="仿宋" w:hAnsi="仿宋" w:eastAsia="仿宋"/>
          <w:color w:val="000000"/>
          <w:sz w:val="28"/>
          <w:szCs w:val="28"/>
        </w:rPr>
        <w:t>养殖外线扬水电费由甲方承担。养殖二次扬水、三次扬水的电费、生活用水用电等项目按表计量由乙方承担，并由乙方与供水、供电等单位自行联系和结算，与甲方无涉。</w:t>
      </w:r>
    </w:p>
    <w:p w14:paraId="6592ED1C">
      <w:pPr>
        <w:spacing w:line="560" w:lineRule="exact"/>
        <w:ind w:firstLine="565" w:firstLineChars="202"/>
        <w:rPr>
          <w:rFonts w:hint="eastAsia" w:ascii="仿宋" w:hAnsi="仿宋" w:eastAsia="仿宋"/>
          <w:b w:val="0"/>
          <w:bCs w:val="0"/>
          <w:color w:val="FF0000"/>
          <w:sz w:val="28"/>
          <w:szCs w:val="28"/>
        </w:rPr>
      </w:pPr>
      <w:r>
        <w:rPr>
          <w:rFonts w:hint="eastAsia" w:ascii="仿宋" w:hAnsi="仿宋" w:eastAsia="仿宋"/>
          <w:b w:val="0"/>
          <w:bCs w:val="0"/>
          <w:color w:val="auto"/>
          <w:sz w:val="28"/>
          <w:szCs w:val="28"/>
          <w:lang w:val="en-US" w:eastAsia="zh-CN"/>
        </w:rPr>
        <w:t>乙方需按本次养殖面积在甲方总养殖面积中的占比，承担甲方养殖尾水净化设施改造的部分费用，具体以双方另行签订的补充协议为准。</w:t>
      </w:r>
    </w:p>
    <w:p w14:paraId="637D93CB">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五、甲方的权利和义务</w:t>
      </w:r>
    </w:p>
    <w:p w14:paraId="129FB0AC">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1.依照合同规定，按期向乙方收取相关租金及其他费用。乙方如不按期缴纳租赁池塘等相关费用的，则按本合同第四条执行。因租期届满，乙方须在租期届满日之前交还租赁物，乙方逾期交还租赁物的，甲方有权没收乙方的全部履约保证金。从乙方收到甲方交还租赁物的通知之次日起，甲方有权对租赁物采取断路、停水、停电等措施，由此造成的一切后果和经济损失均由乙方自行承担，甲方在此情况下均不承担任何赔偿或补偿。租期届满后，租赁物由甲方重新对外出租，乙方不得影响甲方对土地的重新出租，否则乙方赔偿甲方由此造成的一切损失（含租金差价损失）。匡围内的水产品自租期届满之日前由乙方自行起捕完毕，逾期则视同乙方放弃租赁物中水产品所有权等权利，滞留在租赁物内的水产品、设施设备等资产由甲方全权处理，且甲方不予任何赔偿或补偿。</w:t>
      </w:r>
    </w:p>
    <w:p w14:paraId="607B4072">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2.协助乙方进行治安管理，营造良好养殖环境。</w:t>
      </w:r>
    </w:p>
    <w:p w14:paraId="20B0B652">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3.在租赁期间，甲方有权检查、督促乙方保持租赁区域内匡围堤堆、与之配套的进排水河道及涵闸、电力线路、自来水管道等设施的完好及安全。</w:t>
      </w:r>
    </w:p>
    <w:p w14:paraId="53F99E20">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4.甲方有权按照现代渔业养殖要求对乙方使用的养殖投入品进行监督检查，禁止乙方使用不符合食品质量安全要求的投入品。</w:t>
      </w:r>
    </w:p>
    <w:p w14:paraId="607CF184">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5.遇到台风、暴雨等特殊天气，甲方有权基于防汛抗洪的实际需要，指定乙方租赁区域土地的排水时间和禁排时间，乙方必须无条件服从甲方的安排，由此给乙方造成损失的，甲方不承担任何赔偿或补偿等责任。</w:t>
      </w:r>
    </w:p>
    <w:p w14:paraId="0087422B">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6.在租期届满或期内合同解除后，乙方未能交还租赁物且乙方已将租赁物分租、转租给次承租人的，甲方有权就该租赁物直接与次承租人签订租赁协议，并直接收取次承租人的租金。</w:t>
      </w:r>
    </w:p>
    <w:p w14:paraId="0ECCCA70">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六、乙方的权利和义务</w:t>
      </w:r>
    </w:p>
    <w:p w14:paraId="5C4F5963">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1.严格遵守国家法律法规，依法养殖经营。乙方必须严格遵守我国野生动物保护法，禁止猎捕、杀害以及其他妨碍国家重点保护野生动物生息繁衍的活动；严格遵守环境保护相关法律法规，养殖区域禁止新增、新建、改建、扩建生产、生活设施，禁止使用剧毒农药或药品，禁止向水体排放有害废水。如乙方违反上述约定的，甲方将向有关部门举报，依法追究相关责任人法律责任。</w:t>
      </w:r>
    </w:p>
    <w:p w14:paraId="27412B1E">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2.遵守甲方关于海淡水养殖的所有制度(乙方确认已经知悉上述的甲方管理制度，详见本合同附件)。按照优质、生态、安全、绿色、无公害养殖要求进行养殖，服从甲方依据法律法规和本合同约定进行的养殖管理</w:t>
      </w:r>
    </w:p>
    <w:p w14:paraId="73E6FB6D">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3.具有合同范围内的自主经营权，须诚实守信，合法经营。</w:t>
      </w:r>
    </w:p>
    <w:p w14:paraId="533D13F0">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4.按合同规定按时足额缴纳租赁费、其他费用和所有的相关税金。</w:t>
      </w:r>
    </w:p>
    <w:p w14:paraId="401F86C9">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5.维护养殖区内社会治安，遵守安全、环保等管理制度。</w:t>
      </w:r>
    </w:p>
    <w:p w14:paraId="02B1F16D">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6.对本租赁池塘区域内的公共设施有维护责任和义务。</w:t>
      </w:r>
    </w:p>
    <w:p w14:paraId="468DE248">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7.乙方为安全生产责任主体，应全面落实安全生产法律法规及环保法规定的责任，对租赁期内的养殖生产及发生的一切安全、</w:t>
      </w:r>
      <w:r>
        <w:rPr>
          <w:rFonts w:hint="eastAsia" w:ascii="仿宋" w:hAnsi="仿宋" w:eastAsia="仿宋"/>
          <w:color w:val="auto"/>
          <w:sz w:val="28"/>
          <w:szCs w:val="28"/>
        </w:rPr>
        <w:t>环保事</w:t>
      </w:r>
      <w:r>
        <w:rPr>
          <w:rFonts w:hint="eastAsia" w:ascii="仿宋" w:hAnsi="仿宋" w:eastAsia="仿宋"/>
          <w:color w:val="000000"/>
          <w:sz w:val="28"/>
          <w:szCs w:val="28"/>
        </w:rPr>
        <w:t>故承担全部责任。乙方必须为雇工每人参投不低于50万元保额的人身意外伤害保险。</w:t>
      </w:r>
    </w:p>
    <w:p w14:paraId="2BA1EADE">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8.乙方必须服从甲方管理，不得违反治安管理规定，不得有非访、越级访、集体访、串联访、无理缠访和闹访等行为。如有违反上述任何一项视为乙方自动放弃下一轮的池塘优先租赁权并自行承担由此造成的一切责任和经济损失，且甲方有权解除本合同。</w:t>
      </w:r>
    </w:p>
    <w:p w14:paraId="341600FD">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9.严禁在租赁土地内、外及周边土地上随意乱丢废弃药瓶、包装袋等生产生活垃圾。所有垃圾要集中堆放，由养殖管理区按时处理，对于池塘死鱼必须按照规定要求进行处理，不得随意丢弃或违规处理。</w:t>
      </w:r>
    </w:p>
    <w:p w14:paraId="76C2D298">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10.乙方应根据池塘现有状况保持合理水位，避免对池塘堤坝及其它基础设施和附属设施造成损坏，如遇大风天气应及时降低水位，因管理不善或因擅自加高水位对池塘堤坝造成溃坝、管涌等安全隐患，由此造成的一切损失由乙方全部承担赔偿。</w:t>
      </w:r>
    </w:p>
    <w:p w14:paraId="0FF29CF6">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11、在租期届满或期内合同解除后，乙方保证无条件将租赁池塘交给甲方。</w:t>
      </w:r>
    </w:p>
    <w:p w14:paraId="31C159B4">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七、其它约定</w:t>
      </w:r>
    </w:p>
    <w:p w14:paraId="4BA091BE">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1.乙方必须协助甲方处理本合同项下租赁物的相关遗留问题，乙方不协助的，视为乙方违约，由此发生的相关损失，由乙方向甲方赔偿。</w:t>
      </w:r>
    </w:p>
    <w:p w14:paraId="75018DCA">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2.如果乙方以前是或目前是甲方的承租户的，乙方确认，在签署本合同时，就此前已经履行完毕或目前正在履行的其他租赁合同，乙方同意放弃向甲方提出的任何主张和要求，并确认将来不再就以前的租赁合同和目前正在履行的其他租赁合同向甲方提出任何索赔或补偿的请求，以前的租赁合同和目前履行中的其他租赁合同的争议全部处理结束(乙方积欠甲方的租金或占用费除外)。</w:t>
      </w:r>
    </w:p>
    <w:p w14:paraId="782FAE0C">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3.在签署本租赁合同时如双方存在未结的诉讼案件的，双方一致同意，就双方之间的所有租赁合同纠纷及其相关赔偿补偿等争议的诉讼案件，由原告方或上诉人向相关法院撤回起诉或上诉。就上述撤回的诉讼案件，今后任何一方均不得再行起诉或上诉，并承诺从实体上放弃所有的诉讼请求或上诉请求(乙方积欠甲方的租金或占用费、占用甲方池塘的案件除外)。</w:t>
      </w:r>
    </w:p>
    <w:p w14:paraId="7CFD0671">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4.乙方认可甲方租赁物的水源供应、池塘、附属设施及内、外线进排水水系现状满足乙方的养殖需要。租赁期间，未经甲方书面同意，乙方不得擅自改变</w:t>
      </w:r>
      <w:r>
        <w:rPr>
          <w:rFonts w:hint="eastAsia" w:ascii="仿宋" w:hAnsi="仿宋" w:eastAsia="仿宋"/>
          <w:color w:val="auto"/>
          <w:sz w:val="28"/>
          <w:szCs w:val="28"/>
        </w:rPr>
        <w:t>匡围内土地结</w:t>
      </w:r>
      <w:r>
        <w:rPr>
          <w:rFonts w:hint="eastAsia" w:ascii="仿宋" w:hAnsi="仿宋" w:eastAsia="仿宋"/>
          <w:color w:val="000000"/>
          <w:sz w:val="28"/>
          <w:szCs w:val="28"/>
        </w:rPr>
        <w:t>构和形状，不得擅自修建其它永久性房屋、道路、桥梁、电力设施等。</w:t>
      </w:r>
      <w:r>
        <w:rPr>
          <w:rFonts w:hint="eastAsia" w:ascii="仿宋" w:hAnsi="仿宋" w:eastAsia="仿宋"/>
          <w:color w:val="auto"/>
          <w:sz w:val="28"/>
          <w:szCs w:val="28"/>
        </w:rPr>
        <w:t>不得搭建大棚进行育苗等养殖活动。</w:t>
      </w:r>
      <w:r>
        <w:rPr>
          <w:rFonts w:hint="eastAsia" w:ascii="仿宋" w:hAnsi="仿宋" w:eastAsia="仿宋"/>
          <w:color w:val="000000"/>
          <w:sz w:val="28"/>
          <w:szCs w:val="28"/>
        </w:rPr>
        <w:t>乙方负责所租赁区域内外的道路、涵闸、池塘堤堆、进排水河道、桥梁等设施的日常维护与保养，匡围改造的土方不得外运；乙方需搭建临时用房、架设内部电力设施的须书面报请甲方，待甲方书面批复同意后方可进行。上述事宜所需资金由乙方自行筹集，乙方搭建的上述临时用房等附属设施以及道路、涵闸、堤堆、进排水河道、桥梁等设施，无论是否获得甲方同意，其产权自乙方搭建完成时即归甲方所有，在租赁期满后或租期内解除合同后，乙方必须无偿移交给甲方，且乙方不得破坏，否则计价赔偿。</w:t>
      </w:r>
    </w:p>
    <w:p w14:paraId="625DAABB">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5.乙方缴纳的合同履约保证金不计利息。本合同租期届满或合同解除时，乙方将池塘及其投入资产按不低于完好率85%移交甲方后，甲方将根据资产完好率酌情免息退还履约保证金(但如乙方出现违约行为、或因乙方违约导致租期内解除合同的，甲方有权不退还保证金)。如有资产损坏严重的，经第三方评估或双方协商来确定赔偿金额，在保证金中扣除相应赔偿款后的余款退还乙方；若保证金不足赔付的，由乙方予以补足。</w:t>
      </w:r>
    </w:p>
    <w:p w14:paraId="209F6541">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6.乙方必须按照国家法律法规和无公害农产品要求组织生产经营活动，甲方有权检查乙方使用的药物、饲料等，若发现乙方使用不合格的药物、饲料等，甲方有权制止乙方使用，并向行政部门举报，并按本合同约定追究乙方的违约责任。</w:t>
      </w:r>
    </w:p>
    <w:p w14:paraId="2492202C">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7.甲方不承担因电网停电、停水、水源质量、水体供应量等原因而造成的乙方养殖损失。甲方仅提供现有条件下的水、电、路等设施，乙方签署本合同的行为视为乙方认可该池塘现有条件下的基础设施满足其养殖需求。甲方只提供现有的进、排水系统。因特殊情况需要甲方协调解决养殖用水时，甲方在有调度可能情况下提供协助。如需提高水位，相关设施的建设和投入由乙方负责，费用由乙方自行承担。乙方投资建设的相关设施自乙方建造之时起，其产权即归甲方所有。合同期满或合同提前解除时，乙方须无偿移交给甲方，且不得破坏，否则计价赔偿。</w:t>
      </w:r>
    </w:p>
    <w:p w14:paraId="6517B725">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8.在养殖生产期间，乙方应熟悉掌握水源供应季节特点，自行安排进、排水时间，保证养殖用水，并认真加强对水质的监控，配备必要的水质检验器材，如因乙方自身对水质监察不力，误进了污染水、有害水等导致养殖品种发生病害或死亡的，甲方概不负责。</w:t>
      </w:r>
    </w:p>
    <w:p w14:paraId="23BFB064">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9.租赁期间，乙方应自行加强应对突发性停电事故的能力，自备发电机、增氧用品等设备或物品。如因供电单位原因、不可抗力或强对流天气、雷电等原因造成停电停水的，甲方不承担任何赔偿或补偿责任。</w:t>
      </w:r>
    </w:p>
    <w:p w14:paraId="4A653562">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10.租赁期间，如因乙方管理不善，对其租赁区域内匡围堤堆、与之配套的进排水河道及涵闸、电力线路、自来水管道等设施造成损坏和安全隐患以及由此产生的延伸后果，由乙方负全责，并自行承担相应的赔偿和维修费用。</w:t>
      </w:r>
    </w:p>
    <w:p w14:paraId="75B81FD7">
      <w:pPr>
        <w:spacing w:line="560" w:lineRule="exact"/>
        <w:ind w:firstLine="565" w:firstLineChars="202"/>
        <w:rPr>
          <w:rFonts w:ascii="仿宋" w:hAnsi="仿宋" w:eastAsia="仿宋"/>
          <w:color w:val="FF0000"/>
          <w:sz w:val="28"/>
          <w:szCs w:val="28"/>
        </w:rPr>
      </w:pPr>
      <w:r>
        <w:rPr>
          <w:rFonts w:hint="eastAsia" w:ascii="仿宋" w:hAnsi="仿宋" w:eastAsia="仿宋"/>
          <w:sz w:val="28"/>
          <w:szCs w:val="28"/>
        </w:rPr>
        <w:t>11.租赁期间，在乙方承包区域内经甲方认定的公共砂石道路，由甲乙双方另行签订砂石道路维护协议，交由乙方维护,每年年底由甲方组织验收，经验收合格的甲方给付乙方每年每公里5000元维护费(具体以双方签订的砂石道路维护协议内容为主)。</w:t>
      </w:r>
    </w:p>
    <w:p w14:paraId="13944BFE">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12.在不影响养殖生产的情况下，乙方有义务配合甲方在其承包区域实施绿化工程，乙方不得阻扰施工，不得索取任何补偿或赔偿。</w:t>
      </w:r>
    </w:p>
    <w:p w14:paraId="6F634888">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13.租赁期届满或因乙方违约而甲方解除合同后，乙方按合同约定要求将租赁池塘及基础设施等所有固定资产无矛盾、无条件、无任何补偿地移交甲方，否则视乙方违约。</w:t>
      </w:r>
    </w:p>
    <w:p w14:paraId="4DD41459">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14.租赁期届满或因乙方违约而甲方解除合同时，乙方保证自己和合作方及时全部退出养殖区域，养殖期间产生的纠纷矛盾由乙方负责全权处理。如因矛盾纠纷处理不力或未按期交塘给甲方造成经济损失，由乙方全额承担赔偿责任。</w:t>
      </w:r>
    </w:p>
    <w:p w14:paraId="6E5CA459">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15.在第一年度（自本合同签署之日起至2025年12月31日止）租赁期内，因甲方的建设、规划等原因导致甲方不能继续出租本合同项下租赁物的，甲方有权提前解除本合同，乙方须无条件服从，并在收到解除通知书后</w:t>
      </w:r>
      <w:r>
        <w:rPr>
          <w:rFonts w:hint="eastAsia" w:ascii="仿宋" w:hAnsi="仿宋" w:eastAsia="仿宋"/>
          <w:color w:val="000000"/>
          <w:sz w:val="28"/>
          <w:szCs w:val="28"/>
          <w:lang w:val="en-US" w:eastAsia="zh-CN"/>
        </w:rPr>
        <w:t>6个月</w:t>
      </w:r>
      <w:r>
        <w:rPr>
          <w:rFonts w:hint="eastAsia" w:ascii="仿宋" w:hAnsi="仿宋" w:eastAsia="仿宋"/>
          <w:color w:val="000000"/>
          <w:sz w:val="28"/>
          <w:szCs w:val="28"/>
        </w:rPr>
        <w:t>内交还租赁物，且甲方不予任何赔偿或补偿(但对于乙方在本租期内且在本合同租赁物范围内新投入的不动产，在乙方提供充分、真实证据的基础上，委托第三方按照本合同租期进行折旧的残值评估，由甲方进行适当补偿。除此之外，甲方概不予补偿)。在此情形下收回租赁物时，甲方按乙方实际使用租赁物的时间计算收取租金。</w:t>
      </w:r>
    </w:p>
    <w:p w14:paraId="0C6876DB">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16.在租赁期内，乙方应及时缴纳电费、水费等相关费用，如乙方拖欠总金额超过一千元且迟延支付达十日的，视乙方违约，甲方有权解除本合同，并有权进行停电、停水处理，由此引发的一切损失由乙方全额承担。</w:t>
      </w:r>
    </w:p>
    <w:p w14:paraId="16501586">
      <w:pPr>
        <w:spacing w:line="560" w:lineRule="exact"/>
        <w:ind w:firstLine="565" w:firstLineChars="202"/>
        <w:rPr>
          <w:rFonts w:ascii="仿宋" w:hAnsi="仿宋" w:eastAsia="仿宋"/>
          <w:color w:val="auto"/>
          <w:sz w:val="28"/>
          <w:szCs w:val="28"/>
        </w:rPr>
      </w:pPr>
      <w:r>
        <w:rPr>
          <w:rFonts w:hint="eastAsia" w:ascii="仿宋" w:hAnsi="仿宋" w:eastAsia="仿宋"/>
          <w:color w:val="000000"/>
          <w:sz w:val="28"/>
          <w:szCs w:val="28"/>
        </w:rPr>
        <w:t>17.</w:t>
      </w:r>
      <w:r>
        <w:rPr>
          <w:rFonts w:hint="eastAsia" w:ascii="仿宋" w:hAnsi="仿宋" w:eastAsia="仿宋"/>
          <w:color w:val="auto"/>
          <w:sz w:val="28"/>
          <w:szCs w:val="28"/>
        </w:rPr>
        <w:t>乙方在组织养殖生产经营活动过程中，要严格遵守国家及地方的环境保护法律法规，承担中标区域的环境保护责任，如发生被地方政府环保职能部门检查有问题或违反相关规定的，涉及的整改、罚款、停业等所有损失均由中标人自行承担。</w:t>
      </w:r>
    </w:p>
    <w:p w14:paraId="5B1AA054">
      <w:pPr>
        <w:spacing w:line="560" w:lineRule="exact"/>
        <w:ind w:firstLine="484" w:firstLineChars="202"/>
        <w:rPr>
          <w:rFonts w:ascii="仿宋" w:hAnsi="仿宋" w:eastAsia="仿宋"/>
          <w:color w:val="000000"/>
          <w:sz w:val="28"/>
          <w:szCs w:val="28"/>
        </w:rPr>
      </w:pPr>
      <w:r>
        <w:rPr>
          <w:rFonts w:hint="eastAsia" w:ascii="仿宋" w:hAnsi="仿宋" w:eastAsia="仿宋"/>
          <w:sz w:val="24"/>
          <w:szCs w:val="24"/>
        </w:rPr>
        <w:t>18.</w:t>
      </w:r>
      <w:r>
        <w:rPr>
          <w:rFonts w:hint="eastAsia" w:ascii="仿宋" w:hAnsi="仿宋" w:eastAsia="仿宋"/>
          <w:sz w:val="28"/>
          <w:szCs w:val="28"/>
        </w:rPr>
        <w:t>因</w:t>
      </w:r>
      <w:r>
        <w:rPr>
          <w:rFonts w:hint="eastAsia" w:ascii="仿宋" w:hAnsi="仿宋" w:eastAsia="仿宋"/>
          <w:color w:val="000000"/>
          <w:sz w:val="28"/>
          <w:szCs w:val="28"/>
        </w:rPr>
        <w:t>乙方违约导致解除合同的，甲方可以提前书面告知乙方(如乙方逾期缴纳租金或租金缴纳不足额的，甲方可以不予告知而直接解除或终止合同)。乙方收到甲方的解除合同告知后，必须在</w:t>
      </w:r>
      <w:r>
        <w:rPr>
          <w:rFonts w:hint="eastAsia" w:ascii="仿宋" w:hAnsi="仿宋" w:eastAsia="仿宋"/>
          <w:color w:val="000000"/>
          <w:sz w:val="28"/>
          <w:szCs w:val="28"/>
          <w:lang w:val="en-US" w:eastAsia="zh-CN"/>
        </w:rPr>
        <w:t>6个月</w:t>
      </w:r>
      <w:r>
        <w:rPr>
          <w:rFonts w:hint="eastAsia" w:ascii="仿宋" w:hAnsi="仿宋" w:eastAsia="仿宋"/>
          <w:color w:val="000000"/>
          <w:sz w:val="28"/>
          <w:szCs w:val="28"/>
        </w:rPr>
        <w:t>内完成清塘和交塘，且甲方不与任何补偿或赔偿。如乙方逾期未交还租赁物的，该租赁物内所有水产品由甲方全权处理，且甲方不予任何赔偿或补偿，所造成的一切损失由乙方承担，且乙方须承担本合同约定的占用费和其他违约责任。</w:t>
      </w:r>
    </w:p>
    <w:p w14:paraId="18BC41CF">
      <w:pPr>
        <w:pStyle w:val="16"/>
        <w:widowControl/>
        <w:spacing w:before="0" w:beforeAutospacing="0" w:after="0" w:afterAutospacing="0" w:line="480" w:lineRule="atLeast"/>
        <w:ind w:firstLine="480"/>
        <w:rPr>
          <w:rFonts w:ascii="仿宋" w:hAnsi="仿宋" w:eastAsia="仿宋"/>
          <w:color w:val="FF0000"/>
          <w:sz w:val="28"/>
          <w:szCs w:val="28"/>
        </w:rPr>
      </w:pPr>
      <w:r>
        <w:rPr>
          <w:rFonts w:hint="eastAsia" w:ascii="仿宋" w:hAnsi="仿宋" w:eastAsia="仿宋" w:cs="Helvetica"/>
          <w:sz w:val="28"/>
          <w:szCs w:val="28"/>
          <w:shd w:val="clear" w:color="auto" w:fill="FFFFFF"/>
        </w:rPr>
        <w:t>租期内，因任何原因导致终止合同（解除合同）或因项目建设招租人需收回池塘的，中标人必须在收到招租人交还池塘通知书之日起</w:t>
      </w:r>
      <w:r>
        <w:rPr>
          <w:rFonts w:hint="eastAsia" w:ascii="仿宋" w:hAnsi="仿宋" w:eastAsia="仿宋" w:cs="Helvetica"/>
          <w:sz w:val="28"/>
          <w:szCs w:val="28"/>
          <w:shd w:val="clear" w:color="auto" w:fill="FFFFFF"/>
          <w:lang w:val="en-US" w:eastAsia="zh-CN"/>
        </w:rPr>
        <w:t>6个月</w:t>
      </w:r>
      <w:r>
        <w:rPr>
          <w:rFonts w:hint="eastAsia" w:ascii="仿宋" w:hAnsi="仿宋" w:eastAsia="仿宋" w:cs="Helvetica"/>
          <w:sz w:val="28"/>
          <w:szCs w:val="28"/>
          <w:shd w:val="clear" w:color="auto" w:fill="FFFFFF"/>
        </w:rPr>
        <w:t>内将上述池塘交还给招租人。如双方存在争议的，可以通过商谈或诉讼解决，但中标人不得以任何理由迟延或拒绝交还池塘，否则，须赔偿招租人由此蒙受的一切损失并承担双倍租金计算的惩罚性违约金。</w:t>
      </w:r>
    </w:p>
    <w:p w14:paraId="1C6973C3">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八、合同变更和解除</w:t>
      </w:r>
    </w:p>
    <w:p w14:paraId="3B6E3B4E">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1.本合同租期届满时本合同自然终止，双方结清费用。租期内如自然灾害、政府行为、甲方规划建设等原因致使不能实现合同目的时，本合同自动解除，互不负违约责任，由双方按实结算租金。</w:t>
      </w:r>
    </w:p>
    <w:p w14:paraId="63C67C59">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2.乙方不得擅自将租赁物转包、出卖、抵押给他人，不得将租赁经营权利转移给他人或变相转移给他人，否则甲方有权解除合同，一切责任由乙方承担。如果乙方需要转租或分租的，须征得甲方书面同意。对于同意乙方转租的租赁物，甲方认为有必要，可以书面通知乙方将其已经转租的池塘收回，由乙方自己继续经营。甲方上述同意书和通知书自乙方收到之日生效，乙方须严格执行，否则视为乙方违约。</w:t>
      </w:r>
    </w:p>
    <w:p w14:paraId="1B01ADEC">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3.本合同签订后，在第一年度（自本合同签署之日起至2025年12月31日止）租期内，如因上级政府机关及其部门、黄海新区的规划建设、招商引资、征地拆迁的等政府行为需要改变土地用途或收回租赁物的，导致本合同不能履行的，合同自动终止(甲方也有权解除同),双方互不承担违约责任。乙方接到甲方终止合同或解除合同的书面通知后，须在</w:t>
      </w:r>
      <w:r>
        <w:rPr>
          <w:rFonts w:hint="eastAsia" w:ascii="仿宋" w:hAnsi="仿宋" w:eastAsia="仿宋"/>
          <w:color w:val="000000"/>
          <w:sz w:val="28"/>
          <w:szCs w:val="28"/>
          <w:lang w:val="en-US" w:eastAsia="zh-CN"/>
        </w:rPr>
        <w:t>6个月</w:t>
      </w:r>
      <w:r>
        <w:rPr>
          <w:rFonts w:hint="eastAsia" w:ascii="仿宋" w:hAnsi="仿宋" w:eastAsia="仿宋"/>
          <w:color w:val="000000"/>
          <w:sz w:val="28"/>
          <w:szCs w:val="28"/>
        </w:rPr>
        <w:t>内无条件地按照本合同约定交还租赁物，甲方不承担任何赔偿或补偿(但对于乙方在本租期内且在本合同租赁物范围内新投入的不动产，在乙方提供充分、真实证据的基础上，委托第三方按照本合同租期进行折旧的残值评估，由甲方进行适当补偿。除此之外，甲方概不予补偿或赔偿)。征地拆迁（征塘）的相关补偿均归甲方所有。</w:t>
      </w:r>
    </w:p>
    <w:p w14:paraId="236B84E2">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九、安全生产</w:t>
      </w:r>
    </w:p>
    <w:p w14:paraId="1765FDB2">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租赁区域的安全责任具体按甲乙双方签订的安全管理责任书执行。租赁期间，乙方及其所聘用的人员发生的一切人身安全及设备事故，均由乙方负责，与甲方无涉。</w:t>
      </w:r>
    </w:p>
    <w:p w14:paraId="3A2C5CCF">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十、免责条款</w:t>
      </w:r>
    </w:p>
    <w:p w14:paraId="65A2F867">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如遇不可抗力的自然灾害(如台风、海啸、地震等)和政府行为等造成的损失，双方互相免责，本租赁合同终止履行。</w:t>
      </w:r>
    </w:p>
    <w:p w14:paraId="59933573">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十一、违约责任</w:t>
      </w:r>
    </w:p>
    <w:p w14:paraId="01E330DA">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1.乙方违约，按上述违约条款处理；甲方违反合同条款的，全额赔偿乙方所蒙受的相应直接经济损失。</w:t>
      </w:r>
    </w:p>
    <w:p w14:paraId="37C2AC2C">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2.本合同租期届满或租期内解除合同的，乙方在租期届满或合同解除之日起</w:t>
      </w:r>
      <w:r>
        <w:rPr>
          <w:rFonts w:hint="eastAsia" w:ascii="仿宋" w:hAnsi="仿宋" w:eastAsia="仿宋"/>
          <w:color w:val="000000"/>
          <w:sz w:val="28"/>
          <w:szCs w:val="28"/>
          <w:lang w:val="en-US" w:eastAsia="zh-CN"/>
        </w:rPr>
        <w:t>6个月</w:t>
      </w:r>
      <w:r>
        <w:rPr>
          <w:rFonts w:hint="eastAsia" w:ascii="仿宋" w:hAnsi="仿宋" w:eastAsia="仿宋"/>
          <w:color w:val="000000"/>
          <w:sz w:val="28"/>
          <w:szCs w:val="28"/>
        </w:rPr>
        <w:t>内未能交还租赁物的，在承担本合同约定的占用费的同时，还须承担人民币100万元的惩罚性违约金。</w:t>
      </w:r>
    </w:p>
    <w:p w14:paraId="7E9F8E67">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3.乙方违背本合同约定的禁止性义务的(本合同另有约定的，按照该约定执行),经甲方书面通知但乙方拒绝整改的，甲方有权解除合同，乙方须交还租赁物，承担逾期交还租赁物期间按照租金标准1.5倍计算的占用费，并承担本合同前款约定的违约金责任。</w:t>
      </w:r>
    </w:p>
    <w:p w14:paraId="4C9E24C7">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4.在履行本合同过程中，如乙方出现违约行为的，则自动丧失优先承租权。</w:t>
      </w:r>
    </w:p>
    <w:p w14:paraId="5027AB1D">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十二、附则</w:t>
      </w:r>
    </w:p>
    <w:p w14:paraId="54F0B4F2">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1.如一方提出要求对本租赁合同进行公证的，可在公证部门办理公证手续，但公证费用由提出方承担，对方予以配合。</w:t>
      </w:r>
    </w:p>
    <w:p w14:paraId="23C2813C">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2、在签署协议时，如原承租人尚未交还本合同项下的池塘的，则本合同直接、自动转变为预约合同，待甲方收回池塘后再交付给乙方使用，租期和租金支付时间节点均相应顺延，本合同的其他条款不变。如果顺延的时间超过一年的，甲乙双方均有权解除本合同，互不承担违约责任。但乙方由此获得在下一轮竞租中对该池塘的优先承租权。本条款属于本合同的特别条款。</w:t>
      </w:r>
    </w:p>
    <w:p w14:paraId="6CB0F842">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3.本合同未尽事宜，由甲乙双方协商解决，签订补充合同。补充合同与本合同具有同等效力。如协商不成，任何一方均可向租赁物所在地人民法院提起诉讼。</w:t>
      </w:r>
    </w:p>
    <w:p w14:paraId="13D4014C">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4.合同履行过程中双方的电话仅作为一般工作联系方式，重要事项应当以书面函件进行。双方的函件送达地址如下：</w:t>
      </w:r>
    </w:p>
    <w:p w14:paraId="19382F63">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（1）甲方送达地址：</w:t>
      </w:r>
    </w:p>
    <w:p w14:paraId="275E0881">
      <w:pPr>
        <w:spacing w:line="560" w:lineRule="exact"/>
        <w:ind w:firstLine="1400" w:firstLineChars="500"/>
        <w:rPr>
          <w:rFonts w:ascii="仿宋" w:hAnsi="仿宋" w:eastAsia="仿宋"/>
          <w:color w:val="000000"/>
          <w:sz w:val="28"/>
          <w:szCs w:val="28"/>
        </w:rPr>
      </w:pPr>
      <w:r>
        <w:rPr>
          <w:rFonts w:hint="eastAsia" w:ascii="仿宋" w:hAnsi="仿宋" w:eastAsia="仿宋"/>
          <w:color w:val="000000"/>
          <w:sz w:val="28"/>
          <w:szCs w:val="28"/>
        </w:rPr>
        <w:t>联系人：，联系电话：</w:t>
      </w:r>
    </w:p>
    <w:p w14:paraId="2CB456A5">
      <w:pPr>
        <w:spacing w:line="560" w:lineRule="exact"/>
        <w:ind w:firstLine="565" w:firstLineChars="202"/>
        <w:rPr>
          <w:rFonts w:ascii="仿宋" w:hAnsi="仿宋" w:eastAsia="仿宋"/>
          <w:color w:val="000000"/>
          <w:sz w:val="28"/>
          <w:szCs w:val="28"/>
          <w:u w:val="single"/>
        </w:rPr>
      </w:pPr>
      <w:r>
        <w:rPr>
          <w:rFonts w:hint="eastAsia" w:ascii="仿宋" w:hAnsi="仿宋" w:eastAsia="仿宋"/>
          <w:color w:val="000000"/>
          <w:sz w:val="28"/>
          <w:szCs w:val="28"/>
        </w:rPr>
        <w:t>（2）乙方送达地址：</w:t>
      </w:r>
    </w:p>
    <w:p w14:paraId="18F020A5">
      <w:pPr>
        <w:spacing w:line="560" w:lineRule="exact"/>
        <w:ind w:firstLine="1260" w:firstLineChars="450"/>
        <w:jc w:val="left"/>
        <w:rPr>
          <w:rFonts w:ascii="仿宋" w:hAnsi="仿宋" w:eastAsia="仿宋"/>
          <w:color w:val="000000"/>
          <w:sz w:val="28"/>
          <w:szCs w:val="28"/>
          <w:u w:val="single"/>
        </w:rPr>
      </w:pPr>
      <w:r>
        <w:rPr>
          <w:rFonts w:hint="eastAsia" w:ascii="仿宋" w:hAnsi="仿宋" w:eastAsia="仿宋"/>
          <w:color w:val="000000"/>
          <w:sz w:val="28"/>
          <w:szCs w:val="28"/>
        </w:rPr>
        <w:t>联系人：，联系电话：</w:t>
      </w:r>
    </w:p>
    <w:p w14:paraId="7C7979A0">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本合同履行过程中，任何一方向对方发出的通知、信件、数据电文等，应当以书面函件形式通过邮寄方式送达给对方。一方当事人变更名称、地址、联系人的，应当在变更后3日内及时书面通知对方当事人，对方当事人实际收到变更通知前的送达仍为有效送达。任何一方当事人向对方所发出的信件，自信件交邮后的第7日视为送达成功。</w:t>
      </w:r>
    </w:p>
    <w:p w14:paraId="4E47972C">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上述送达地址可为双方工作联系往来、法律文书以及解决争议过程中人民法院或仲裁机构法律文书的送达地址。本合同送达条款与争议解决条款均为独立条款，不受合同整体或其他条款效力的影响。</w:t>
      </w:r>
    </w:p>
    <w:p w14:paraId="7C206A98">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5.本合同的附件包括《养殖生产安全工作责任书》、《盐场海淡水养殖管理规定》和《养殖池塘租赁交接单》。乙方在履行合同过程中如有违背《养殖生产安全工作责任书》和《盐场海淡水养殖管理规定》的行为，也视为违约，相关违约责任按照本合同的约定执行。</w:t>
      </w:r>
    </w:p>
    <w:p w14:paraId="399AE301">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6.本轮《</w:t>
      </w:r>
      <w:bookmarkStart w:id="4" w:name="OLE_LINK3"/>
      <w:r>
        <w:rPr>
          <w:rFonts w:hint="eastAsia" w:ascii="仿宋" w:hAnsi="仿宋" w:eastAsia="仿宋"/>
          <w:color w:val="000000"/>
          <w:sz w:val="28"/>
          <w:szCs w:val="28"/>
        </w:rPr>
        <w:t>盐城市新滩盐场实业发展有限公司闲置土地公开招租方案书</w:t>
      </w:r>
      <w:bookmarkEnd w:id="4"/>
      <w:r>
        <w:rPr>
          <w:rFonts w:hint="eastAsia" w:ascii="仿宋" w:hAnsi="仿宋" w:eastAsia="仿宋"/>
          <w:color w:val="000000"/>
          <w:sz w:val="28"/>
          <w:szCs w:val="28"/>
        </w:rPr>
        <w:t>》及其附件的内容作为本合同的组成部分；如本合同内容与招租文件（含附件）相冲突的，以本合同为准；如本合同没有约定的，则按照招租方案书及其附件的规定执行。乙方必须严格按照本次招租过程中甲方发布的《盐城市新滩盐场实业发展有限公司2025年度闲置土地公开招租公告》中关于池塘整理改造要求，并必须通过甲方的验收，否则甲方有权解除本合同，乙方承担本合同价20%违约金，并立刻退出租赁区域（乙方逾期退出租赁区域的，乙方需承担逾期期间按租金标准1.5倍计算的池塘占用费）。</w:t>
      </w:r>
    </w:p>
    <w:p w14:paraId="3D851F89">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7.本合同一式三份，甲方执二份、乙方执一份，自双方签署之日起生效。本合同签署于20</w:t>
      </w:r>
      <w:r>
        <w:rPr>
          <w:rFonts w:hint="eastAsia" w:ascii="仿宋" w:hAnsi="仿宋" w:eastAsia="仿宋"/>
          <w:color w:val="000000"/>
          <w:sz w:val="28"/>
          <w:szCs w:val="28"/>
          <w:u w:val="single"/>
        </w:rPr>
        <w:t>25</w:t>
      </w:r>
      <w:r>
        <w:rPr>
          <w:rFonts w:hint="eastAsia" w:ascii="仿宋" w:hAnsi="仿宋" w:eastAsia="仿宋"/>
          <w:color w:val="000000"/>
          <w:sz w:val="28"/>
          <w:szCs w:val="28"/>
        </w:rPr>
        <w:t>年</w:t>
      </w:r>
      <w:r>
        <w:rPr>
          <w:rFonts w:hint="eastAsia" w:ascii="仿宋" w:hAnsi="仿宋" w:eastAsia="仿宋"/>
          <w:color w:val="000000"/>
          <w:sz w:val="28"/>
          <w:szCs w:val="28"/>
          <w:u w:val="single"/>
        </w:rPr>
        <w:t xml:space="preserve">  </w:t>
      </w:r>
      <w:r>
        <w:rPr>
          <w:rFonts w:hint="eastAsia" w:ascii="仿宋" w:hAnsi="仿宋" w:eastAsia="仿宋"/>
          <w:color w:val="000000"/>
          <w:sz w:val="28"/>
          <w:szCs w:val="28"/>
        </w:rPr>
        <w:t>月</w:t>
      </w:r>
      <w:r>
        <w:rPr>
          <w:rFonts w:hint="eastAsia" w:ascii="仿宋" w:hAnsi="仿宋" w:eastAsia="仿宋"/>
          <w:color w:val="000000"/>
          <w:sz w:val="28"/>
          <w:szCs w:val="28"/>
          <w:u w:val="single"/>
        </w:rPr>
        <w:t xml:space="preserve">   </w:t>
      </w:r>
      <w:r>
        <w:rPr>
          <w:rFonts w:hint="eastAsia" w:ascii="仿宋" w:hAnsi="仿宋" w:eastAsia="仿宋"/>
          <w:color w:val="000000"/>
          <w:sz w:val="28"/>
          <w:szCs w:val="28"/>
        </w:rPr>
        <w:t>日。</w:t>
      </w:r>
    </w:p>
    <w:p w14:paraId="6912E326">
      <w:pPr>
        <w:spacing w:line="560" w:lineRule="exact"/>
        <w:ind w:firstLine="565" w:firstLineChars="202"/>
        <w:rPr>
          <w:rFonts w:ascii="仿宋" w:hAnsi="仿宋" w:eastAsia="仿宋"/>
          <w:color w:val="000000"/>
          <w:sz w:val="28"/>
          <w:szCs w:val="28"/>
        </w:rPr>
      </w:pPr>
    </w:p>
    <w:p w14:paraId="15AE9FC7">
      <w:pPr>
        <w:spacing w:line="560" w:lineRule="exact"/>
        <w:ind w:firstLine="565" w:firstLineChars="202"/>
        <w:rPr>
          <w:rFonts w:ascii="仿宋" w:hAnsi="仿宋" w:eastAsia="仿宋"/>
          <w:color w:val="000000"/>
          <w:sz w:val="28"/>
          <w:szCs w:val="28"/>
        </w:rPr>
      </w:pPr>
    </w:p>
    <w:p w14:paraId="19A2C4BE">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甲方(盖章):                    乙方(盖章):</w:t>
      </w:r>
    </w:p>
    <w:p w14:paraId="5D2307D6">
      <w:pPr>
        <w:spacing w:line="560" w:lineRule="exact"/>
        <w:ind w:firstLine="565" w:firstLineChars="202"/>
        <w:rPr>
          <w:rFonts w:ascii="仿宋" w:hAnsi="仿宋" w:eastAsia="仿宋"/>
          <w:color w:val="000000"/>
          <w:sz w:val="28"/>
          <w:szCs w:val="28"/>
        </w:rPr>
      </w:pPr>
    </w:p>
    <w:p w14:paraId="0E4B8DFC">
      <w:pPr>
        <w:spacing w:line="560" w:lineRule="exact"/>
        <w:ind w:firstLine="565" w:firstLineChars="202"/>
        <w:rPr>
          <w:rFonts w:ascii="幼圆" w:hAnsi="宋体" w:eastAsia="幼圆"/>
          <w:b/>
          <w:color w:val="000000"/>
          <w:sz w:val="28"/>
          <w:szCs w:val="28"/>
        </w:rPr>
      </w:pPr>
      <w:r>
        <w:rPr>
          <w:rFonts w:hint="eastAsia" w:ascii="仿宋" w:hAnsi="仿宋" w:eastAsia="仿宋"/>
          <w:color w:val="000000"/>
          <w:sz w:val="28"/>
          <w:szCs w:val="28"/>
        </w:rPr>
        <w:t xml:space="preserve">签约代表人：                   签约代表人： </w:t>
      </w:r>
    </w:p>
    <w:p w14:paraId="05B08AE2">
      <w:pPr>
        <w:rPr>
          <w:rFonts w:ascii="幼圆" w:hAnsi="宋体" w:eastAsia="幼圆"/>
          <w:b/>
          <w:color w:val="000000"/>
          <w:sz w:val="28"/>
          <w:szCs w:val="28"/>
        </w:rPr>
      </w:pPr>
    </w:p>
    <w:p w14:paraId="2EA7EF8D">
      <w:pPr>
        <w:rPr>
          <w:rFonts w:ascii="幼圆" w:hAnsi="宋体" w:eastAsia="幼圆"/>
          <w:b/>
          <w:color w:val="000000"/>
          <w:sz w:val="28"/>
          <w:szCs w:val="28"/>
        </w:rPr>
      </w:pPr>
    </w:p>
    <w:p w14:paraId="6655C007">
      <w:pPr>
        <w:rPr>
          <w:rFonts w:ascii="幼圆" w:hAnsi="宋体" w:eastAsia="幼圆"/>
          <w:b/>
          <w:color w:val="000000"/>
          <w:sz w:val="28"/>
          <w:szCs w:val="28"/>
        </w:rPr>
      </w:pPr>
    </w:p>
    <w:p w14:paraId="19F2CBA0">
      <w:pPr>
        <w:rPr>
          <w:rFonts w:ascii="幼圆" w:hAnsi="宋体" w:eastAsia="幼圆"/>
          <w:b/>
          <w:color w:val="000000"/>
          <w:sz w:val="28"/>
          <w:szCs w:val="28"/>
        </w:rPr>
      </w:pPr>
    </w:p>
    <w:p w14:paraId="38C0C6F3">
      <w:pPr>
        <w:rPr>
          <w:rFonts w:ascii="幼圆" w:hAnsi="宋体" w:eastAsia="幼圆"/>
          <w:b/>
          <w:color w:val="000000"/>
          <w:sz w:val="28"/>
          <w:szCs w:val="28"/>
        </w:rPr>
      </w:pPr>
    </w:p>
    <w:p w14:paraId="00399AF5">
      <w:pPr>
        <w:rPr>
          <w:rFonts w:ascii="幼圆" w:hAnsi="宋体" w:eastAsia="幼圆"/>
          <w:b/>
          <w:color w:val="000000"/>
          <w:sz w:val="28"/>
          <w:szCs w:val="28"/>
        </w:rPr>
      </w:pPr>
    </w:p>
    <w:p w14:paraId="1D168C3E">
      <w:pPr>
        <w:rPr>
          <w:rFonts w:ascii="幼圆" w:hAnsi="宋体" w:eastAsia="幼圆"/>
          <w:b/>
          <w:color w:val="000000"/>
          <w:sz w:val="28"/>
          <w:szCs w:val="28"/>
        </w:rPr>
      </w:pPr>
    </w:p>
    <w:p w14:paraId="1C3EB208">
      <w:pPr>
        <w:rPr>
          <w:rFonts w:ascii="幼圆" w:hAnsi="宋体" w:eastAsia="幼圆"/>
          <w:b/>
          <w:color w:val="000000"/>
          <w:sz w:val="28"/>
          <w:szCs w:val="28"/>
        </w:rPr>
      </w:pPr>
    </w:p>
    <w:p w14:paraId="22563D36">
      <w:pPr>
        <w:rPr>
          <w:rFonts w:ascii="幼圆" w:hAnsi="宋体" w:eastAsia="幼圆"/>
          <w:b/>
          <w:color w:val="000000"/>
          <w:sz w:val="28"/>
          <w:szCs w:val="28"/>
        </w:rPr>
      </w:pPr>
    </w:p>
    <w:p w14:paraId="69BA60C3">
      <w:pPr>
        <w:rPr>
          <w:rFonts w:ascii="幼圆" w:hAnsi="宋体" w:eastAsia="幼圆"/>
          <w:b/>
          <w:color w:val="000000"/>
          <w:sz w:val="28"/>
          <w:szCs w:val="28"/>
        </w:rPr>
      </w:pPr>
    </w:p>
    <w:p w14:paraId="76BE29CD">
      <w:pPr>
        <w:rPr>
          <w:rFonts w:ascii="幼圆" w:hAnsi="宋体" w:eastAsia="幼圆"/>
          <w:b/>
          <w:color w:val="000000"/>
          <w:sz w:val="28"/>
          <w:szCs w:val="28"/>
        </w:rPr>
      </w:pPr>
      <w:r>
        <w:rPr>
          <w:rFonts w:hint="eastAsia" w:ascii="幼圆" w:hAnsi="宋体" w:eastAsia="幼圆"/>
          <w:b/>
          <w:color w:val="000000"/>
          <w:sz w:val="28"/>
          <w:szCs w:val="28"/>
        </w:rPr>
        <w:t>附件7: 养殖生产安全工作责任书</w:t>
      </w:r>
    </w:p>
    <w:p w14:paraId="73C09BF3">
      <w:pPr>
        <w:jc w:val="center"/>
        <w:rPr>
          <w:rFonts w:ascii="宋体" w:hAnsi="宋体"/>
          <w:b/>
          <w:color w:val="000000"/>
          <w:sz w:val="32"/>
          <w:szCs w:val="32"/>
        </w:rPr>
      </w:pPr>
      <w:r>
        <w:rPr>
          <w:rFonts w:hint="eastAsia" w:ascii="宋体" w:hAnsi="宋体"/>
          <w:b/>
          <w:color w:val="000000"/>
          <w:sz w:val="32"/>
          <w:szCs w:val="32"/>
        </w:rPr>
        <w:t>2025年闲置土地出租生产安全工作责任书</w:t>
      </w:r>
    </w:p>
    <w:p w14:paraId="13401290">
      <w:pPr>
        <w:spacing w:line="240" w:lineRule="exact"/>
        <w:ind w:firstLine="565" w:firstLineChars="202"/>
        <w:rPr>
          <w:rFonts w:ascii="仿宋" w:hAnsi="仿宋" w:eastAsia="仿宋"/>
          <w:color w:val="000000"/>
          <w:sz w:val="28"/>
          <w:szCs w:val="28"/>
        </w:rPr>
      </w:pPr>
    </w:p>
    <w:p w14:paraId="52D92887">
      <w:pPr>
        <w:ind w:firstLine="565" w:firstLineChars="202"/>
        <w:rPr>
          <w:rFonts w:ascii="仿宋" w:hAnsi="仿宋" w:eastAsia="仿宋"/>
          <w:color w:val="000000"/>
          <w:sz w:val="28"/>
          <w:szCs w:val="28"/>
        </w:rPr>
      </w:pPr>
      <w:r>
        <w:rPr>
          <w:rFonts w:hint="eastAsia" w:ascii="仿宋" w:hAnsi="仿宋" w:eastAsia="仿宋"/>
          <w:color w:val="000000"/>
          <w:sz w:val="28"/>
          <w:szCs w:val="28"/>
        </w:rPr>
        <w:t>甲方(出租人):盐城市新滩盐场实业发展有限公司</w:t>
      </w:r>
    </w:p>
    <w:p w14:paraId="1BFAD8D1">
      <w:pPr>
        <w:ind w:firstLine="565" w:firstLineChars="202"/>
        <w:rPr>
          <w:rFonts w:ascii="仿宋" w:hAnsi="仿宋" w:eastAsia="仿宋"/>
          <w:color w:val="000000"/>
          <w:sz w:val="28"/>
          <w:szCs w:val="28"/>
          <w:u w:val="single"/>
        </w:rPr>
      </w:pPr>
      <w:r>
        <w:rPr>
          <w:rFonts w:hint="eastAsia" w:ascii="仿宋" w:hAnsi="仿宋" w:eastAsia="仿宋"/>
          <w:color w:val="000000"/>
          <w:sz w:val="28"/>
          <w:szCs w:val="28"/>
        </w:rPr>
        <w:t>乙方(承租人):</w:t>
      </w:r>
    </w:p>
    <w:p w14:paraId="6C6B3FD8">
      <w:pPr>
        <w:ind w:firstLine="565" w:firstLineChars="202"/>
        <w:rPr>
          <w:rFonts w:ascii="仿宋" w:hAnsi="仿宋" w:eastAsia="仿宋"/>
          <w:color w:val="000000"/>
          <w:sz w:val="28"/>
          <w:szCs w:val="28"/>
        </w:rPr>
      </w:pPr>
      <w:r>
        <w:rPr>
          <w:rFonts w:hint="eastAsia" w:ascii="仿宋" w:hAnsi="仿宋" w:eastAsia="仿宋"/>
          <w:color w:val="000000"/>
          <w:sz w:val="28"/>
          <w:szCs w:val="28"/>
        </w:rPr>
        <w:t>以保障养殖生产安全为目的，重点抓好水产品的质量安全管理，防止各种生产事故发生，保证从业人员安全，保障群众生命财产安全，促进经济发展和社会稳定与和谐，特制订本责任状。</w:t>
      </w:r>
    </w:p>
    <w:p w14:paraId="42B7542B">
      <w:pPr>
        <w:ind w:firstLine="565" w:firstLineChars="202"/>
        <w:rPr>
          <w:rFonts w:ascii="仿宋" w:hAnsi="仿宋" w:eastAsia="仿宋"/>
          <w:color w:val="000000"/>
          <w:sz w:val="28"/>
          <w:szCs w:val="28"/>
        </w:rPr>
      </w:pPr>
      <w:r>
        <w:rPr>
          <w:rFonts w:hint="eastAsia" w:ascii="仿宋" w:hAnsi="仿宋" w:eastAsia="仿宋"/>
          <w:color w:val="000000"/>
          <w:sz w:val="28"/>
          <w:szCs w:val="28"/>
        </w:rPr>
        <w:t>一、目标任务</w:t>
      </w:r>
    </w:p>
    <w:p w14:paraId="02F1AA86">
      <w:pPr>
        <w:ind w:firstLine="565" w:firstLineChars="202"/>
        <w:rPr>
          <w:rFonts w:ascii="仿宋" w:hAnsi="仿宋" w:eastAsia="仿宋"/>
          <w:color w:val="000000"/>
          <w:sz w:val="28"/>
          <w:szCs w:val="28"/>
        </w:rPr>
      </w:pPr>
      <w:r>
        <w:rPr>
          <w:rFonts w:hint="eastAsia" w:ascii="仿宋" w:hAnsi="仿宋" w:eastAsia="仿宋"/>
          <w:color w:val="000000"/>
          <w:sz w:val="28"/>
          <w:szCs w:val="28"/>
        </w:rPr>
        <w:t>努力完成公司及场下达行业领域内安全死亡责任事故为零的安全生产控制指标任务，防范养殖生产经营领域安全生产事故发生，保障经济社会健康持续发展。</w:t>
      </w:r>
    </w:p>
    <w:p w14:paraId="0806062D">
      <w:pPr>
        <w:ind w:firstLine="565" w:firstLineChars="202"/>
        <w:rPr>
          <w:rFonts w:ascii="仿宋" w:hAnsi="仿宋" w:eastAsia="仿宋"/>
          <w:color w:val="000000"/>
          <w:sz w:val="28"/>
          <w:szCs w:val="28"/>
        </w:rPr>
      </w:pPr>
      <w:r>
        <w:rPr>
          <w:rFonts w:hint="eastAsia" w:ascii="仿宋" w:hAnsi="仿宋" w:eastAsia="仿宋"/>
          <w:color w:val="000000"/>
          <w:sz w:val="28"/>
          <w:szCs w:val="28"/>
        </w:rPr>
        <w:t>二、具体职责</w:t>
      </w:r>
    </w:p>
    <w:p w14:paraId="7EBDB1C0">
      <w:pPr>
        <w:ind w:firstLine="565" w:firstLineChars="202"/>
        <w:rPr>
          <w:rFonts w:ascii="仿宋" w:hAnsi="仿宋" w:eastAsia="仿宋"/>
          <w:color w:val="000000"/>
          <w:sz w:val="28"/>
          <w:szCs w:val="28"/>
        </w:rPr>
      </w:pPr>
      <w:r>
        <w:rPr>
          <w:rFonts w:hint="eastAsia" w:ascii="仿宋" w:hAnsi="仿宋" w:eastAsia="仿宋"/>
          <w:color w:val="000000"/>
          <w:sz w:val="28"/>
          <w:szCs w:val="28"/>
        </w:rPr>
        <w:t>1.甲方要紧紧围绕养殖生产质量安全监管为中心，以长效机制的建设为重点，以落实目标责任制、加大宣传和查处力度、强化服务指导为手段加强生产环节监管力度。指导、监督乙方落实安全生产管理责任，加强对水产养殖业的安全管理，宣传和推广安全养殖知识，防范养殖过程中各类安全事故的发生。</w:t>
      </w:r>
    </w:p>
    <w:p w14:paraId="7C3D469E">
      <w:pPr>
        <w:ind w:firstLine="565" w:firstLineChars="202"/>
        <w:rPr>
          <w:rFonts w:ascii="仿宋" w:hAnsi="仿宋" w:eastAsia="仿宋"/>
          <w:color w:val="000000"/>
          <w:sz w:val="28"/>
          <w:szCs w:val="28"/>
        </w:rPr>
      </w:pPr>
      <w:r>
        <w:rPr>
          <w:rFonts w:hint="eastAsia" w:ascii="仿宋" w:hAnsi="仿宋" w:eastAsia="仿宋"/>
          <w:color w:val="000000"/>
          <w:sz w:val="28"/>
          <w:szCs w:val="28"/>
        </w:rPr>
        <w:t>2.落实责任，强化源头治理。乙方作为安全生产的第一责任人，对安全生产责任负全责，在池塘整理改造及养殖生产中所发生的人身伤亡、火灾事故及经济损失由乙方自行负责。乙方应主动接受甲方及上级部门的安全检查和监督，对于所提出的安全隐患必须立刻整改。</w:t>
      </w:r>
    </w:p>
    <w:p w14:paraId="32B941B6">
      <w:pPr>
        <w:ind w:firstLine="565" w:firstLineChars="202"/>
        <w:rPr>
          <w:rFonts w:ascii="仿宋" w:hAnsi="仿宋" w:eastAsia="仿宋"/>
          <w:color w:val="000000"/>
          <w:sz w:val="28"/>
          <w:szCs w:val="28"/>
        </w:rPr>
      </w:pPr>
      <w:r>
        <w:rPr>
          <w:rFonts w:hint="eastAsia" w:ascii="仿宋" w:hAnsi="仿宋" w:eastAsia="仿宋"/>
          <w:color w:val="000000"/>
          <w:sz w:val="28"/>
          <w:szCs w:val="28"/>
        </w:rPr>
        <w:t>3.甲方应广泛宣传水产品质量安全法规，提高水产品质量安全法规的安全意识，促进水产养殖业协调可持续发展。认真贯彻执行国家《中华人  民共和国渔业法》、《中华人民共和国农产品质量安全法》、《饲料和饲料添加剂管理条例》等，深化行政许可制度，严把市场准入关，严格  按照法律法规的规定，统一审查尺度，严格审查，强化服务意识，对检查中发现的问题及时提出整改意见，督促乙方继续完善养殖条件和质量保证体系，保证和提高水产品质量；对有违法违规问题的养殖企业或个人，在责令限期整改的同时，依法作出严厉处罚：对不具备养殖条件和存在重大违法行为的依法注销或撤销许可。</w:t>
      </w:r>
    </w:p>
    <w:p w14:paraId="1865A87F">
      <w:pPr>
        <w:ind w:firstLine="565" w:firstLineChars="202"/>
        <w:rPr>
          <w:rFonts w:ascii="仿宋" w:hAnsi="仿宋" w:eastAsia="仿宋"/>
          <w:color w:val="000000"/>
          <w:sz w:val="28"/>
          <w:szCs w:val="28"/>
        </w:rPr>
      </w:pPr>
      <w:r>
        <w:rPr>
          <w:rFonts w:hint="eastAsia" w:ascii="仿宋" w:hAnsi="仿宋" w:eastAsia="仿宋"/>
          <w:color w:val="000000"/>
          <w:sz w:val="28"/>
          <w:szCs w:val="28"/>
        </w:rPr>
        <w:t>4、乙方必须严格按照本次招租过程中甲方发布的《新滩盐场未利用盐田整理改造及养殖池塘公开招租公告》中关于池塘整理改造要求，否则承担合同约定违约责任并丧失要求甲方补偿池塘整理改造成海水池塘施工费用的权利（池塘整理改造的工程量无偿归甲方所有）。</w:t>
      </w:r>
    </w:p>
    <w:p w14:paraId="4B4D8543">
      <w:pPr>
        <w:ind w:firstLine="565" w:firstLineChars="202"/>
        <w:rPr>
          <w:rFonts w:ascii="仿宋" w:hAnsi="仿宋" w:eastAsia="仿宋"/>
          <w:color w:val="000000"/>
          <w:sz w:val="28"/>
          <w:szCs w:val="28"/>
        </w:rPr>
      </w:pPr>
      <w:r>
        <w:rPr>
          <w:rFonts w:hint="eastAsia" w:ascii="仿宋" w:hAnsi="仿宋" w:eastAsia="仿宋"/>
          <w:color w:val="000000"/>
          <w:sz w:val="28"/>
          <w:szCs w:val="28"/>
        </w:rPr>
        <w:t>三、其他</w:t>
      </w:r>
    </w:p>
    <w:p w14:paraId="547829FA">
      <w:pPr>
        <w:ind w:firstLine="565" w:firstLineChars="202"/>
        <w:rPr>
          <w:rFonts w:ascii="仿宋" w:hAnsi="仿宋" w:eastAsia="仿宋"/>
          <w:color w:val="000000"/>
          <w:sz w:val="28"/>
          <w:szCs w:val="28"/>
        </w:rPr>
      </w:pPr>
      <w:r>
        <w:rPr>
          <w:rFonts w:hint="eastAsia" w:ascii="仿宋" w:hAnsi="仿宋" w:eastAsia="仿宋"/>
          <w:color w:val="000000"/>
          <w:sz w:val="28"/>
          <w:szCs w:val="28"/>
        </w:rPr>
        <w:t>1.本责任状一式肆份，甲方执叁份、乙方执壹份。</w:t>
      </w:r>
    </w:p>
    <w:p w14:paraId="6974C987">
      <w:pPr>
        <w:ind w:firstLine="565" w:firstLineChars="202"/>
        <w:rPr>
          <w:rFonts w:ascii="仿宋" w:hAnsi="仿宋" w:eastAsia="仿宋"/>
          <w:color w:val="000000"/>
          <w:sz w:val="28"/>
          <w:szCs w:val="28"/>
        </w:rPr>
      </w:pPr>
      <w:r>
        <w:rPr>
          <w:rFonts w:hint="eastAsia" w:ascii="仿宋" w:hAnsi="仿宋" w:eastAsia="仿宋"/>
          <w:color w:val="000000"/>
          <w:sz w:val="28"/>
          <w:szCs w:val="28"/>
        </w:rPr>
        <w:t>2.本责任状解释权属于甲方。</w:t>
      </w:r>
    </w:p>
    <w:p w14:paraId="4D1F9A63">
      <w:pPr>
        <w:ind w:firstLine="565" w:firstLineChars="202"/>
        <w:rPr>
          <w:rFonts w:ascii="仿宋" w:hAnsi="仿宋" w:eastAsia="仿宋"/>
          <w:color w:val="000000"/>
          <w:sz w:val="28"/>
          <w:szCs w:val="28"/>
        </w:rPr>
      </w:pPr>
      <w:r>
        <w:rPr>
          <w:rFonts w:hint="eastAsia" w:ascii="仿宋" w:hAnsi="仿宋" w:eastAsia="仿宋"/>
          <w:color w:val="000000"/>
          <w:sz w:val="28"/>
          <w:szCs w:val="28"/>
        </w:rPr>
        <w:t>3.本责任状签署于20</w:t>
      </w:r>
      <w:r>
        <w:rPr>
          <w:rFonts w:hint="eastAsia" w:ascii="仿宋" w:hAnsi="仿宋" w:eastAsia="仿宋"/>
          <w:color w:val="000000"/>
          <w:sz w:val="28"/>
          <w:szCs w:val="28"/>
          <w:u w:val="single"/>
        </w:rPr>
        <w:t>25</w:t>
      </w:r>
      <w:r>
        <w:rPr>
          <w:rFonts w:hint="eastAsia" w:ascii="仿宋" w:hAnsi="仿宋" w:eastAsia="仿宋"/>
          <w:color w:val="000000"/>
          <w:sz w:val="28"/>
          <w:szCs w:val="28"/>
        </w:rPr>
        <w:t>年  月  日</w:t>
      </w:r>
    </w:p>
    <w:p w14:paraId="7AA906D0">
      <w:pPr>
        <w:ind w:firstLine="565" w:firstLineChars="202"/>
        <w:rPr>
          <w:rFonts w:ascii="仿宋" w:hAnsi="仿宋" w:eastAsia="仿宋"/>
          <w:color w:val="000000"/>
          <w:sz w:val="28"/>
          <w:szCs w:val="28"/>
        </w:rPr>
      </w:pPr>
      <w:r>
        <w:rPr>
          <w:rFonts w:hint="eastAsia" w:ascii="仿宋" w:hAnsi="仿宋" w:eastAsia="仿宋"/>
          <w:color w:val="000000"/>
          <w:sz w:val="28"/>
          <w:szCs w:val="28"/>
        </w:rPr>
        <w:t xml:space="preserve">甲方(盖章)： </w:t>
      </w:r>
    </w:p>
    <w:p w14:paraId="2738C212">
      <w:pPr>
        <w:ind w:firstLine="565" w:firstLineChars="202"/>
        <w:rPr>
          <w:rFonts w:ascii="仿宋" w:hAnsi="仿宋" w:eastAsia="仿宋"/>
          <w:color w:val="000000"/>
          <w:sz w:val="28"/>
          <w:szCs w:val="28"/>
        </w:rPr>
      </w:pPr>
      <w:r>
        <w:rPr>
          <w:rFonts w:hint="eastAsia" w:ascii="仿宋" w:hAnsi="仿宋" w:eastAsia="仿宋"/>
          <w:color w:val="000000"/>
          <w:sz w:val="28"/>
          <w:szCs w:val="28"/>
        </w:rPr>
        <w:t>代表：</w:t>
      </w:r>
    </w:p>
    <w:p w14:paraId="309D3B1A">
      <w:pPr>
        <w:ind w:firstLine="565" w:firstLineChars="202"/>
        <w:rPr>
          <w:rFonts w:ascii="仿宋" w:hAnsi="仿宋" w:eastAsia="仿宋"/>
          <w:color w:val="000000"/>
          <w:sz w:val="28"/>
          <w:szCs w:val="28"/>
        </w:rPr>
      </w:pPr>
    </w:p>
    <w:p w14:paraId="24B0492B">
      <w:pPr>
        <w:ind w:firstLine="565" w:firstLineChars="202"/>
        <w:rPr>
          <w:rFonts w:ascii="幼圆" w:hAnsi="宋体" w:eastAsia="幼圆"/>
          <w:b/>
          <w:color w:val="000000"/>
          <w:sz w:val="28"/>
          <w:szCs w:val="28"/>
        </w:rPr>
      </w:pPr>
      <w:r>
        <w:rPr>
          <w:rFonts w:hint="eastAsia" w:ascii="仿宋" w:hAnsi="仿宋" w:eastAsia="仿宋"/>
          <w:color w:val="000000"/>
          <w:sz w:val="28"/>
          <w:szCs w:val="28"/>
        </w:rPr>
        <w:t>乙方(盖章、签名手印)：</w:t>
      </w:r>
    </w:p>
    <w:p w14:paraId="50233171">
      <w:pPr>
        <w:spacing w:line="360" w:lineRule="auto"/>
        <w:jc w:val="left"/>
        <w:rPr>
          <w:rFonts w:ascii="幼圆" w:hAnsi="宋体" w:eastAsia="幼圆"/>
          <w:b/>
          <w:color w:val="000000"/>
          <w:sz w:val="28"/>
          <w:szCs w:val="28"/>
        </w:rPr>
      </w:pPr>
      <w:r>
        <w:rPr>
          <w:rFonts w:hint="eastAsia" w:ascii="幼圆" w:hAnsi="宋体" w:eastAsia="幼圆"/>
          <w:b/>
          <w:color w:val="000000"/>
          <w:sz w:val="28"/>
          <w:szCs w:val="28"/>
        </w:rPr>
        <w:t>附件8: 海淡水养殖管理规定</w:t>
      </w:r>
    </w:p>
    <w:p w14:paraId="4B716FD0">
      <w:pPr>
        <w:spacing w:line="720" w:lineRule="auto"/>
        <w:jc w:val="center"/>
        <w:rPr>
          <w:rFonts w:ascii="宋体" w:hAnsi="宋体"/>
          <w:b/>
          <w:color w:val="000000"/>
          <w:sz w:val="32"/>
          <w:szCs w:val="32"/>
        </w:rPr>
      </w:pPr>
      <w:r>
        <w:rPr>
          <w:rFonts w:hint="eastAsia" w:ascii="宋体" w:hAnsi="宋体"/>
          <w:b/>
          <w:color w:val="000000"/>
          <w:sz w:val="32"/>
          <w:szCs w:val="32"/>
        </w:rPr>
        <w:t>海淡水养殖管理规定</w:t>
      </w:r>
    </w:p>
    <w:p w14:paraId="1AA9C897">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为鼓励水产养殖单位和个人发展健康养殖，减少水产养殖病害发生；控  制养殖用药，保证养殖水产品质量安全；推广生态养殖，保护养殖环境。根据《中华人民共和国渔业法》等法律、行政法规，制定本条例：</w:t>
      </w:r>
    </w:p>
    <w:p w14:paraId="2A0A2C84">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第一章 养殖用水</w:t>
      </w:r>
    </w:p>
    <w:p w14:paraId="6ABCF9AB">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第一条 水产养殖用水应当符合农业部《无公害食品海水养殖用水水质》  (NY5052-200)或《无公害食品淡水养殖用水水质》(NY5051-2001)等标准，禁止将不符合水质标准的水源用于水产养殖。</w:t>
      </w:r>
    </w:p>
    <w:p w14:paraId="0650B05D">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第二条 水产养殖单位和个人应当定期监测养殖用水水质。</w:t>
      </w:r>
    </w:p>
    <w:p w14:paraId="4B74F501">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养殖用水水源受到污染时，应当立即停止使用；确需使用的，应当经过净化处理达到养殖用水水质标准</w:t>
      </w:r>
    </w:p>
    <w:p w14:paraId="6B27A629">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养殖水体水质不符合养殖用水水质标准时，应当立即采取措施进行处理。经处理后仍达不到要求的，应当停止养殖活动，并向当地渔业行政主管部门报告</w:t>
      </w:r>
    </w:p>
    <w:p w14:paraId="67F77FBC">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第三条 养殖场或池塘的进排水系统应当分开。水产养殖废水排放应当达到国家规定的排放标准。</w:t>
      </w:r>
    </w:p>
    <w:p w14:paraId="25B30A4F">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第二章 养殖生产</w:t>
      </w:r>
    </w:p>
    <w:p w14:paraId="1F3813DB">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第四条 应当根据水产养殖规划要求，合理确定用于水产养殖的水域和滩涂，同时根据水域滩涂环境状况划分养殖功能区，合理安排养殖生产布局，科学确定养殖规模、养殖方式。</w:t>
      </w:r>
    </w:p>
    <w:p w14:paraId="19DFD084">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第五条 使用水域、滩涂从事水产养殖的单位和个人应当按有关规定申领养殖证，并按核准的区域、规模从事养殖生产。</w:t>
      </w:r>
    </w:p>
    <w:p w14:paraId="7DE9A2FB">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第六条 水产养殖生产应当符合国家有关养殖技术规范操作要求。水产养殖单位和个人应当配置与养殖水体和生产能力相适应的水处理设施和相应的水质、水生生物检测等基础性仪器设备。水产养殖使用的苗种应当符合国家或地方质量标准。</w:t>
      </w:r>
    </w:p>
    <w:p w14:paraId="5219650D">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第七条 水产养殖专业技术人员应当逐步按国家有关就业准入要求，经过职业技能培训并获得职业资格证书后，方能上岗。</w:t>
      </w:r>
    </w:p>
    <w:p w14:paraId="704E3237">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第八条 水产养殖单位和个人应当填写《水产养殖生产记录》,记载养殖种类、苗种来源及生长情况、饲料来源及投喂情况、水质变化等内容。《水产养殖生产记录》应当保存至该批水产品全部销售后2年以上。第九条销售的养殖水产品应当符合国家或地方的有关标准。不符合标准的产品应当进行净化处理，净化处理后仍不符合标准的产品禁止销售。第十条使用渔用饲料应当符合《饲料和饲料添加剂管理条例》和农业部《无公害食品渔用饲料安全限量》(NY5072-2002)。鼓励使用配合饲料限制直接投喂冰鲜(冻)饵料，防止残饵污染水质。禁止使用无产品质量标准、无质量检验合格证、无生产许可证和产品批准文号的饲料、饲料添加剂。禁止使用变质和过期饲料</w:t>
      </w:r>
    </w:p>
    <w:p w14:paraId="3AC85555">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第十一条 使用水产养殖用药应当符合《兽药管理条例》和农业部《无公害食品渔药使用准则》(NY5071-2002)。使用药物的养殖水产品在休药期内不得用于人类食品消费。禁止使用假、劣兽药及农业部规定禁止使用的药品、其他化合物和生物制剂。原料药不得直接用于水产养殖。</w:t>
      </w:r>
    </w:p>
    <w:p w14:paraId="131DC71A">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第十二条 水产养殖单位和个人应当按照水产养殖用药使用说明书的要求或在水生生物病害防治员的指导下科学用药。水生生物病害防治员应当按照有关就业准入的要求，经过职业技能培训并获得职业资格证书后，方能上岗。</w:t>
      </w:r>
    </w:p>
    <w:p w14:paraId="1B185BC7">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第十三条 水产养殖单位和个人应当填写《水产养殖用药记录》,记载病害发生情况，主要症状，用药名称、时间、用量等内容。《水产养殖用药记录》应当保存至该批水产品全部销售后2年以上。水产养殖单位和个人应当接受县级以上人民政府渔业行政主管部门组织的养殖水产品药物残留抽样检测。</w:t>
      </w:r>
    </w:p>
    <w:p w14:paraId="7D1D3D9B">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第三章 附则</w:t>
      </w:r>
    </w:p>
    <w:p w14:paraId="301E1459">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本条例自养殖池塘承包合同签订生效日起施行，对承包人具有约束力，并构成租赁合同的组成部分。</w:t>
      </w:r>
    </w:p>
    <w:p w14:paraId="5D83E334">
      <w:pPr>
        <w:spacing w:line="560" w:lineRule="exact"/>
        <w:ind w:firstLine="565" w:firstLineChars="202"/>
        <w:rPr>
          <w:rFonts w:ascii="仿宋" w:hAnsi="仿宋" w:eastAsia="仿宋"/>
          <w:color w:val="000000"/>
          <w:sz w:val="28"/>
          <w:szCs w:val="28"/>
        </w:rPr>
      </w:pPr>
    </w:p>
    <w:p w14:paraId="6CFB5101">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承租人签章确认：</w:t>
      </w:r>
    </w:p>
    <w:p w14:paraId="363D2A99">
      <w:pPr>
        <w:spacing w:line="560" w:lineRule="exact"/>
        <w:ind w:firstLine="565" w:firstLineChars="202"/>
        <w:rPr>
          <w:rFonts w:ascii="仿宋" w:hAnsi="仿宋" w:eastAsia="仿宋"/>
          <w:color w:val="000000"/>
          <w:sz w:val="28"/>
          <w:szCs w:val="28"/>
        </w:rPr>
      </w:pPr>
    </w:p>
    <w:p w14:paraId="3A330BAD">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二〇</w:t>
      </w:r>
      <w:r>
        <w:rPr>
          <w:rFonts w:hint="eastAsia" w:ascii="仿宋" w:hAnsi="仿宋" w:eastAsia="仿宋"/>
          <w:color w:val="000000"/>
          <w:sz w:val="28"/>
          <w:szCs w:val="28"/>
          <w:u w:val="single"/>
        </w:rPr>
        <w:t>二五</w:t>
      </w:r>
      <w:r>
        <w:rPr>
          <w:rFonts w:hint="eastAsia" w:ascii="仿宋" w:hAnsi="仿宋" w:eastAsia="仿宋"/>
          <w:color w:val="000000"/>
          <w:sz w:val="28"/>
          <w:szCs w:val="28"/>
        </w:rPr>
        <w:t>年  月  日</w:t>
      </w:r>
    </w:p>
    <w:p w14:paraId="76B37A00">
      <w:pPr>
        <w:spacing w:line="560" w:lineRule="exact"/>
        <w:rPr>
          <w:rFonts w:ascii="仿宋" w:hAnsi="仿宋" w:eastAsia="仿宋"/>
          <w:color w:val="000000"/>
          <w:sz w:val="28"/>
          <w:szCs w:val="28"/>
        </w:rPr>
      </w:pPr>
    </w:p>
    <w:p w14:paraId="368AEA4B">
      <w:pPr>
        <w:spacing w:line="360" w:lineRule="auto"/>
        <w:rPr>
          <w:rFonts w:ascii="宋体" w:hAnsi="宋体"/>
          <w:color w:val="000000"/>
          <w:sz w:val="28"/>
          <w:szCs w:val="28"/>
        </w:rPr>
      </w:pPr>
    </w:p>
    <w:p w14:paraId="647E7167">
      <w:pPr>
        <w:spacing w:line="360" w:lineRule="auto"/>
        <w:rPr>
          <w:rFonts w:ascii="宋体" w:hAnsi="宋体"/>
          <w:color w:val="000000"/>
          <w:sz w:val="28"/>
          <w:szCs w:val="28"/>
        </w:rPr>
      </w:pPr>
    </w:p>
    <w:p w14:paraId="5AD10046">
      <w:pPr>
        <w:spacing w:line="360" w:lineRule="auto"/>
        <w:rPr>
          <w:rFonts w:ascii="宋体" w:hAnsi="宋体"/>
          <w:color w:val="000000"/>
          <w:sz w:val="28"/>
          <w:szCs w:val="28"/>
        </w:rPr>
      </w:pPr>
    </w:p>
    <w:p w14:paraId="3B7D0C4F">
      <w:pPr>
        <w:spacing w:line="360" w:lineRule="auto"/>
        <w:rPr>
          <w:rFonts w:ascii="宋体" w:hAnsi="宋体"/>
          <w:color w:val="000000"/>
          <w:sz w:val="28"/>
          <w:szCs w:val="28"/>
        </w:rPr>
      </w:pPr>
    </w:p>
    <w:p w14:paraId="6D4A4818">
      <w:pPr>
        <w:spacing w:line="360" w:lineRule="auto"/>
        <w:rPr>
          <w:rFonts w:ascii="宋体" w:hAnsi="宋体"/>
          <w:color w:val="000000"/>
          <w:sz w:val="28"/>
          <w:szCs w:val="28"/>
        </w:rPr>
      </w:pPr>
    </w:p>
    <w:p w14:paraId="2B98B101">
      <w:pPr>
        <w:spacing w:line="360" w:lineRule="auto"/>
        <w:jc w:val="left"/>
        <w:rPr>
          <w:rFonts w:ascii="幼圆" w:hAnsi="宋体" w:eastAsia="幼圆"/>
          <w:b/>
          <w:color w:val="000000"/>
          <w:sz w:val="28"/>
          <w:szCs w:val="28"/>
        </w:rPr>
      </w:pPr>
    </w:p>
    <w:p w14:paraId="5C5D7D7B">
      <w:pPr>
        <w:spacing w:line="360" w:lineRule="auto"/>
        <w:jc w:val="left"/>
        <w:rPr>
          <w:rFonts w:ascii="幼圆" w:hAnsi="宋体" w:eastAsia="幼圆"/>
          <w:b/>
          <w:color w:val="000000"/>
          <w:sz w:val="28"/>
          <w:szCs w:val="28"/>
        </w:rPr>
      </w:pPr>
    </w:p>
    <w:p w14:paraId="76E05101">
      <w:pPr>
        <w:spacing w:line="360" w:lineRule="auto"/>
        <w:jc w:val="left"/>
        <w:rPr>
          <w:rFonts w:ascii="幼圆" w:hAnsi="宋体" w:eastAsia="幼圆"/>
          <w:b/>
          <w:color w:val="000000"/>
          <w:sz w:val="28"/>
          <w:szCs w:val="28"/>
        </w:rPr>
      </w:pPr>
    </w:p>
    <w:p w14:paraId="61C266E2">
      <w:pPr>
        <w:spacing w:line="360" w:lineRule="auto"/>
        <w:jc w:val="left"/>
        <w:rPr>
          <w:rFonts w:ascii="幼圆" w:hAnsi="宋体" w:eastAsia="幼圆"/>
          <w:b/>
          <w:color w:val="000000"/>
          <w:sz w:val="28"/>
          <w:szCs w:val="28"/>
        </w:rPr>
      </w:pPr>
    </w:p>
    <w:p w14:paraId="294EA7F7">
      <w:pPr>
        <w:spacing w:line="360" w:lineRule="auto"/>
        <w:jc w:val="left"/>
        <w:rPr>
          <w:rFonts w:ascii="幼圆" w:hAnsi="宋体" w:eastAsia="幼圆"/>
          <w:b/>
          <w:color w:val="000000"/>
          <w:sz w:val="28"/>
          <w:szCs w:val="28"/>
        </w:rPr>
      </w:pPr>
      <w:r>
        <w:rPr>
          <w:rFonts w:hint="eastAsia" w:ascii="幼圆" w:hAnsi="宋体" w:eastAsia="幼圆"/>
          <w:b/>
          <w:color w:val="000000"/>
          <w:sz w:val="28"/>
          <w:szCs w:val="28"/>
        </w:rPr>
        <w:t>附件9: 租赁资产交接确认单</w:t>
      </w:r>
    </w:p>
    <w:p w14:paraId="2AB233FD">
      <w:pPr>
        <w:spacing w:line="720" w:lineRule="auto"/>
        <w:jc w:val="center"/>
        <w:rPr>
          <w:rFonts w:ascii="宋体" w:hAnsi="宋体"/>
          <w:b/>
          <w:color w:val="000000"/>
          <w:sz w:val="32"/>
          <w:szCs w:val="32"/>
        </w:rPr>
      </w:pPr>
      <w:r>
        <w:rPr>
          <w:rFonts w:hint="eastAsia" w:ascii="宋体" w:hAnsi="宋体"/>
          <w:b/>
          <w:color w:val="000000"/>
          <w:sz w:val="32"/>
          <w:szCs w:val="32"/>
        </w:rPr>
        <w:t>租赁资产交接确认单</w:t>
      </w:r>
    </w:p>
    <w:p w14:paraId="4B27ED93">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甲方(出租人):盐城市新滩盐场实业发展有限公司</w:t>
      </w:r>
    </w:p>
    <w:p w14:paraId="2EFEBA73">
      <w:pPr>
        <w:spacing w:line="560" w:lineRule="exact"/>
        <w:ind w:firstLine="565" w:firstLineChars="202"/>
        <w:rPr>
          <w:rFonts w:ascii="仿宋" w:hAnsi="仿宋" w:eastAsia="仿宋"/>
          <w:color w:val="000000"/>
          <w:sz w:val="28"/>
          <w:szCs w:val="28"/>
          <w:u w:val="single"/>
        </w:rPr>
      </w:pPr>
      <w:r>
        <w:rPr>
          <w:rFonts w:hint="eastAsia" w:ascii="仿宋" w:hAnsi="仿宋" w:eastAsia="仿宋"/>
          <w:color w:val="000000"/>
          <w:sz w:val="28"/>
          <w:szCs w:val="28"/>
        </w:rPr>
        <w:t>乙方(承租人):</w:t>
      </w:r>
    </w:p>
    <w:p w14:paraId="4BA8B19C">
      <w:pPr>
        <w:spacing w:line="560" w:lineRule="exact"/>
        <w:ind w:firstLine="565" w:firstLineChars="202"/>
        <w:rPr>
          <w:rFonts w:ascii="仿宋" w:hAnsi="仿宋" w:eastAsia="仿宋"/>
          <w:color w:val="000000"/>
          <w:sz w:val="28"/>
          <w:szCs w:val="28"/>
        </w:rPr>
      </w:pPr>
    </w:p>
    <w:p w14:paraId="0D5DE6F7">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一、出租人（甲方）与承租人（乙方）于2025年</w:t>
      </w:r>
      <w:r>
        <w:rPr>
          <w:rFonts w:hint="eastAsia" w:ascii="仿宋" w:hAnsi="仿宋" w:eastAsia="仿宋"/>
          <w:color w:val="000000"/>
          <w:sz w:val="28"/>
          <w:szCs w:val="28"/>
          <w:u w:val="single"/>
        </w:rPr>
        <w:t xml:space="preserve">   </w:t>
      </w:r>
      <w:r>
        <w:rPr>
          <w:rFonts w:hint="eastAsia" w:ascii="仿宋" w:hAnsi="仿宋" w:eastAsia="仿宋"/>
          <w:color w:val="000000"/>
          <w:sz w:val="28"/>
          <w:szCs w:val="28"/>
        </w:rPr>
        <w:t>月</w:t>
      </w:r>
      <w:r>
        <w:rPr>
          <w:rFonts w:hint="eastAsia" w:ascii="仿宋" w:hAnsi="仿宋" w:eastAsia="仿宋"/>
          <w:color w:val="000000"/>
          <w:sz w:val="28"/>
          <w:szCs w:val="28"/>
          <w:u w:val="single"/>
        </w:rPr>
        <w:t xml:space="preserve">   </w:t>
      </w:r>
      <w:r>
        <w:rPr>
          <w:rFonts w:hint="eastAsia" w:ascii="仿宋" w:hAnsi="仿宋" w:eastAsia="仿宋"/>
          <w:color w:val="000000"/>
          <w:sz w:val="28"/>
          <w:szCs w:val="28"/>
        </w:rPr>
        <w:t>日签署的编号为</w:t>
      </w:r>
      <w:r>
        <w:rPr>
          <w:rFonts w:hint="eastAsia" w:ascii="仿宋" w:hAnsi="仿宋" w:eastAsia="仿宋"/>
          <w:color w:val="000000"/>
          <w:sz w:val="28"/>
          <w:szCs w:val="28"/>
          <w:u w:val="single"/>
        </w:rPr>
        <w:t xml:space="preserve">       </w:t>
      </w:r>
      <w:r>
        <w:rPr>
          <w:rFonts w:hint="eastAsia" w:ascii="仿宋" w:hAnsi="仿宋" w:eastAsia="仿宋"/>
          <w:color w:val="000000"/>
          <w:sz w:val="28"/>
          <w:szCs w:val="28"/>
        </w:rPr>
        <w:t>《土地租赁合同》中所载明的租赁物，于今日已经全部交付给乙方接收和使用。在此，乙方确认已经收到租赁合同项下的全部租赁物，并认可所有租赁物符合租赁合同的相关约定。</w:t>
      </w:r>
    </w:p>
    <w:p w14:paraId="265B4B3E">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二、水、电、路及涵闸、值班房等附属设施均以目前现状交于乙方。经实地勘察，乙方认为上述附属设施完全符合双方签订的《土地租赁合同书》的相关约定以及招租文件的规定。</w:t>
      </w:r>
    </w:p>
    <w:p w14:paraId="645D2502">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三、乙方确认上述租赁物及其附属设施设备已经全部收到，并认可其实际状况，同意予以接受。今后，乙方不再对租赁物提出任何异议。</w:t>
      </w:r>
    </w:p>
    <w:p w14:paraId="2C166AC0">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四、本交接单作为租赁合同的附件，系租赁合同书的不可分割的部分，具有同等法律效力。</w:t>
      </w:r>
    </w:p>
    <w:p w14:paraId="75394318">
      <w:pPr>
        <w:spacing w:line="560" w:lineRule="exact"/>
        <w:ind w:firstLine="565" w:firstLineChars="202"/>
        <w:rPr>
          <w:rFonts w:ascii="仿宋" w:hAnsi="仿宋" w:eastAsia="仿宋"/>
          <w:color w:val="000000"/>
          <w:sz w:val="28"/>
          <w:szCs w:val="28"/>
        </w:rPr>
      </w:pPr>
    </w:p>
    <w:p w14:paraId="374B9E81">
      <w:pPr>
        <w:spacing w:line="56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接收方确认(盖章、签名手印):</w:t>
      </w:r>
    </w:p>
    <w:p w14:paraId="7651174F">
      <w:pPr>
        <w:spacing w:line="560" w:lineRule="exact"/>
        <w:ind w:firstLine="565" w:firstLineChars="202"/>
        <w:rPr>
          <w:rFonts w:ascii="仿宋" w:hAnsi="仿宋" w:eastAsia="仿宋"/>
          <w:color w:val="000000"/>
          <w:sz w:val="28"/>
          <w:szCs w:val="28"/>
        </w:rPr>
      </w:pPr>
    </w:p>
    <w:p w14:paraId="7844038A">
      <w:pPr>
        <w:spacing w:line="560" w:lineRule="exact"/>
        <w:ind w:firstLine="565" w:firstLineChars="202"/>
        <w:rPr>
          <w:rFonts w:ascii="宋体" w:hAnsi="宋体"/>
          <w:b/>
          <w:color w:val="000000"/>
          <w:sz w:val="28"/>
          <w:szCs w:val="28"/>
        </w:rPr>
      </w:pPr>
      <w:r>
        <w:rPr>
          <w:rFonts w:hint="eastAsia" w:ascii="仿宋" w:hAnsi="仿宋" w:eastAsia="仿宋"/>
          <w:color w:val="000000"/>
          <w:sz w:val="28"/>
          <w:szCs w:val="28"/>
        </w:rPr>
        <w:t>二〇</w:t>
      </w:r>
      <w:r>
        <w:rPr>
          <w:rFonts w:hint="eastAsia" w:ascii="仿宋" w:hAnsi="仿宋" w:eastAsia="仿宋"/>
          <w:color w:val="000000"/>
          <w:sz w:val="28"/>
          <w:szCs w:val="28"/>
          <w:u w:val="single"/>
        </w:rPr>
        <w:t>二五</w:t>
      </w:r>
      <w:r>
        <w:rPr>
          <w:rFonts w:hint="eastAsia" w:ascii="仿宋" w:hAnsi="仿宋" w:eastAsia="仿宋"/>
          <w:color w:val="000000"/>
          <w:sz w:val="28"/>
          <w:szCs w:val="28"/>
        </w:rPr>
        <w:t>年  月  日</w:t>
      </w:r>
    </w:p>
    <w:p w14:paraId="1B351AB3">
      <w:pPr>
        <w:spacing w:line="360" w:lineRule="auto"/>
        <w:jc w:val="center"/>
        <w:rPr>
          <w:rFonts w:ascii="宋体" w:hAnsi="宋体"/>
          <w:b/>
          <w:color w:val="000000"/>
          <w:sz w:val="28"/>
          <w:szCs w:val="28"/>
        </w:rPr>
      </w:pPr>
    </w:p>
    <w:p w14:paraId="7B02D6C8">
      <w:pPr>
        <w:spacing w:line="360" w:lineRule="auto"/>
        <w:rPr>
          <w:rFonts w:ascii="幼圆" w:hAnsi="宋体" w:eastAsia="幼圆"/>
          <w:b/>
          <w:color w:val="000000"/>
          <w:sz w:val="28"/>
          <w:szCs w:val="28"/>
        </w:rPr>
      </w:pPr>
    </w:p>
    <w:p w14:paraId="415B9FF2">
      <w:pPr>
        <w:spacing w:line="360" w:lineRule="auto"/>
        <w:rPr>
          <w:rFonts w:ascii="幼圆" w:hAnsi="宋体" w:eastAsia="幼圆"/>
          <w:b/>
          <w:color w:val="000000"/>
          <w:sz w:val="28"/>
          <w:szCs w:val="28"/>
        </w:rPr>
      </w:pPr>
    </w:p>
    <w:p w14:paraId="668A3AB4">
      <w:pPr>
        <w:spacing w:line="360" w:lineRule="auto"/>
        <w:rPr>
          <w:rFonts w:ascii="幼圆" w:hAnsi="宋体" w:eastAsia="幼圆"/>
          <w:b/>
          <w:color w:val="000000"/>
          <w:sz w:val="28"/>
          <w:szCs w:val="28"/>
        </w:rPr>
      </w:pPr>
      <w:r>
        <w:rPr>
          <w:rFonts w:hint="eastAsia" w:ascii="幼圆" w:hAnsi="宋体" w:eastAsia="幼圆"/>
          <w:b/>
          <w:color w:val="000000"/>
          <w:sz w:val="28"/>
          <w:szCs w:val="28"/>
        </w:rPr>
        <w:t>附件11：竞租报价表</w:t>
      </w:r>
    </w:p>
    <w:p w14:paraId="521B7F4E">
      <w:pPr>
        <w:spacing w:line="720" w:lineRule="auto"/>
        <w:jc w:val="center"/>
        <w:rPr>
          <w:rFonts w:ascii="宋体" w:hAnsi="宋体"/>
          <w:b/>
          <w:color w:val="000000"/>
          <w:sz w:val="32"/>
          <w:szCs w:val="32"/>
        </w:rPr>
      </w:pPr>
      <w:r>
        <w:rPr>
          <w:rFonts w:hint="eastAsia" w:ascii="宋体" w:hAnsi="宋体"/>
          <w:b/>
          <w:color w:val="000000"/>
          <w:sz w:val="32"/>
          <w:szCs w:val="32"/>
        </w:rPr>
        <w:t>竞租报价表</w:t>
      </w: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43"/>
        <w:gridCol w:w="4486"/>
        <w:gridCol w:w="1893"/>
      </w:tblGrid>
      <w:tr w14:paraId="509000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143" w:type="dxa"/>
            <w:tcBorders>
              <w:top w:val="single" w:color="auto" w:sz="4" w:space="0"/>
              <w:left w:val="single" w:color="auto" w:sz="4" w:space="0"/>
              <w:bottom w:val="single" w:color="auto" w:sz="4" w:space="0"/>
              <w:right w:val="single" w:color="auto" w:sz="4" w:space="0"/>
            </w:tcBorders>
            <w:vAlign w:val="center"/>
          </w:tcPr>
          <w:p w14:paraId="0AA59C70">
            <w:pPr>
              <w:spacing w:line="400" w:lineRule="exact"/>
              <w:jc w:val="center"/>
              <w:rPr>
                <w:rFonts w:ascii="仿宋" w:hAnsi="仿宋" w:eastAsia="仿宋"/>
                <w:b/>
                <w:color w:val="000000"/>
                <w:kern w:val="0"/>
                <w:sz w:val="28"/>
                <w:szCs w:val="28"/>
              </w:rPr>
            </w:pPr>
            <w:r>
              <w:rPr>
                <w:rFonts w:hint="eastAsia" w:ascii="仿宋" w:hAnsi="仿宋" w:eastAsia="仿宋"/>
                <w:b/>
                <w:color w:val="000000"/>
                <w:kern w:val="0"/>
                <w:sz w:val="28"/>
                <w:szCs w:val="28"/>
              </w:rPr>
              <w:t>意向土地</w:t>
            </w:r>
          </w:p>
          <w:p w14:paraId="5EBAB0B5">
            <w:pPr>
              <w:spacing w:line="400" w:lineRule="exact"/>
              <w:jc w:val="center"/>
              <w:rPr>
                <w:rFonts w:ascii="仿宋" w:hAnsi="仿宋" w:eastAsia="仿宋"/>
                <w:b/>
                <w:color w:val="000000"/>
                <w:kern w:val="0"/>
                <w:sz w:val="28"/>
                <w:szCs w:val="28"/>
              </w:rPr>
            </w:pPr>
            <w:r>
              <w:rPr>
                <w:rFonts w:hint="eastAsia" w:ascii="仿宋" w:hAnsi="仿宋" w:eastAsia="仿宋"/>
                <w:b/>
                <w:color w:val="000000"/>
                <w:kern w:val="0"/>
                <w:sz w:val="28"/>
                <w:szCs w:val="28"/>
              </w:rPr>
              <w:t>标段号</w:t>
            </w:r>
          </w:p>
        </w:tc>
        <w:tc>
          <w:tcPr>
            <w:tcW w:w="4486" w:type="dxa"/>
            <w:tcBorders>
              <w:top w:val="single" w:color="auto" w:sz="4" w:space="0"/>
              <w:left w:val="single" w:color="auto" w:sz="4" w:space="0"/>
              <w:bottom w:val="single" w:color="auto" w:sz="4" w:space="0"/>
              <w:right w:val="single" w:color="auto" w:sz="4" w:space="0"/>
            </w:tcBorders>
            <w:vAlign w:val="center"/>
          </w:tcPr>
          <w:p w14:paraId="4C64BE6B">
            <w:pPr>
              <w:spacing w:line="400" w:lineRule="exact"/>
              <w:jc w:val="center"/>
              <w:rPr>
                <w:rFonts w:ascii="仿宋" w:hAnsi="仿宋" w:eastAsia="仿宋"/>
                <w:b/>
                <w:color w:val="000000"/>
                <w:kern w:val="0"/>
                <w:sz w:val="28"/>
                <w:szCs w:val="28"/>
              </w:rPr>
            </w:pPr>
            <w:r>
              <w:rPr>
                <w:rFonts w:hint="eastAsia" w:ascii="仿宋" w:hAnsi="仿宋" w:eastAsia="仿宋"/>
                <w:b/>
                <w:color w:val="000000"/>
                <w:kern w:val="0"/>
                <w:sz w:val="28"/>
                <w:szCs w:val="28"/>
              </w:rPr>
              <w:t>竞租报价</w:t>
            </w:r>
          </w:p>
          <w:p w14:paraId="1702BE90">
            <w:pPr>
              <w:spacing w:line="400" w:lineRule="exact"/>
              <w:jc w:val="center"/>
              <w:rPr>
                <w:rFonts w:ascii="仿宋" w:hAnsi="仿宋" w:eastAsia="仿宋"/>
                <w:b/>
                <w:color w:val="000000"/>
                <w:kern w:val="0"/>
                <w:sz w:val="28"/>
                <w:szCs w:val="28"/>
              </w:rPr>
            </w:pPr>
            <w:r>
              <w:rPr>
                <w:rFonts w:hint="eastAsia" w:ascii="仿宋" w:hAnsi="仿宋" w:eastAsia="仿宋"/>
                <w:b/>
                <w:color w:val="000000"/>
                <w:kern w:val="0"/>
                <w:sz w:val="28"/>
                <w:szCs w:val="28"/>
              </w:rPr>
              <w:t>（每亩每年人民币元）</w:t>
            </w:r>
          </w:p>
        </w:tc>
        <w:tc>
          <w:tcPr>
            <w:tcW w:w="1893" w:type="dxa"/>
            <w:tcBorders>
              <w:top w:val="single" w:color="auto" w:sz="4" w:space="0"/>
              <w:left w:val="single" w:color="auto" w:sz="4" w:space="0"/>
              <w:bottom w:val="single" w:color="auto" w:sz="4" w:space="0"/>
              <w:right w:val="single" w:color="auto" w:sz="4" w:space="0"/>
            </w:tcBorders>
            <w:vAlign w:val="center"/>
          </w:tcPr>
          <w:p w14:paraId="555807AA">
            <w:pPr>
              <w:spacing w:line="400" w:lineRule="exact"/>
              <w:jc w:val="center"/>
              <w:rPr>
                <w:rFonts w:ascii="仿宋" w:hAnsi="仿宋" w:eastAsia="仿宋"/>
                <w:b/>
                <w:color w:val="000000"/>
                <w:kern w:val="0"/>
                <w:sz w:val="28"/>
                <w:szCs w:val="28"/>
              </w:rPr>
            </w:pPr>
            <w:r>
              <w:rPr>
                <w:rFonts w:hint="eastAsia" w:ascii="仿宋" w:hAnsi="仿宋" w:eastAsia="仿宋"/>
                <w:b/>
                <w:color w:val="000000"/>
                <w:kern w:val="0"/>
                <w:sz w:val="28"/>
                <w:szCs w:val="28"/>
              </w:rPr>
              <w:t>备注</w:t>
            </w:r>
          </w:p>
        </w:tc>
      </w:tr>
      <w:tr w14:paraId="3DE67F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43" w:type="dxa"/>
            <w:tcBorders>
              <w:top w:val="single" w:color="auto" w:sz="4" w:space="0"/>
              <w:left w:val="single" w:color="auto" w:sz="4" w:space="0"/>
              <w:bottom w:val="single" w:color="auto" w:sz="4" w:space="0"/>
              <w:right w:val="single" w:color="auto" w:sz="4" w:space="0"/>
            </w:tcBorders>
          </w:tcPr>
          <w:p w14:paraId="1A1959DB">
            <w:pPr>
              <w:spacing w:line="360" w:lineRule="auto"/>
              <w:rPr>
                <w:rFonts w:ascii="仿宋" w:hAnsi="仿宋" w:eastAsia="仿宋"/>
                <w:color w:val="000000"/>
                <w:kern w:val="0"/>
                <w:sz w:val="28"/>
                <w:szCs w:val="28"/>
              </w:rPr>
            </w:pPr>
          </w:p>
        </w:tc>
        <w:tc>
          <w:tcPr>
            <w:tcW w:w="4486" w:type="dxa"/>
            <w:tcBorders>
              <w:top w:val="single" w:color="auto" w:sz="4" w:space="0"/>
              <w:left w:val="single" w:color="auto" w:sz="4" w:space="0"/>
              <w:bottom w:val="single" w:color="auto" w:sz="4" w:space="0"/>
              <w:right w:val="single" w:color="auto" w:sz="4" w:space="0"/>
            </w:tcBorders>
          </w:tcPr>
          <w:p w14:paraId="1C7455EA">
            <w:pPr>
              <w:spacing w:line="360" w:lineRule="auto"/>
              <w:rPr>
                <w:rFonts w:ascii="仿宋" w:hAnsi="仿宋" w:eastAsia="仿宋"/>
                <w:color w:val="000000"/>
                <w:kern w:val="0"/>
                <w:sz w:val="28"/>
                <w:szCs w:val="28"/>
              </w:rPr>
            </w:pPr>
          </w:p>
        </w:tc>
        <w:tc>
          <w:tcPr>
            <w:tcW w:w="1893" w:type="dxa"/>
            <w:tcBorders>
              <w:top w:val="single" w:color="auto" w:sz="4" w:space="0"/>
              <w:left w:val="single" w:color="auto" w:sz="4" w:space="0"/>
              <w:bottom w:val="single" w:color="auto" w:sz="4" w:space="0"/>
              <w:right w:val="single" w:color="auto" w:sz="4" w:space="0"/>
            </w:tcBorders>
          </w:tcPr>
          <w:p w14:paraId="159A7862">
            <w:pPr>
              <w:spacing w:line="360" w:lineRule="auto"/>
              <w:rPr>
                <w:rFonts w:ascii="仿宋" w:hAnsi="仿宋" w:eastAsia="仿宋"/>
                <w:color w:val="000000"/>
                <w:kern w:val="0"/>
                <w:sz w:val="28"/>
                <w:szCs w:val="28"/>
              </w:rPr>
            </w:pPr>
          </w:p>
        </w:tc>
      </w:tr>
      <w:tr w14:paraId="69ED0D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43" w:type="dxa"/>
            <w:tcBorders>
              <w:top w:val="single" w:color="auto" w:sz="4" w:space="0"/>
              <w:left w:val="single" w:color="auto" w:sz="4" w:space="0"/>
              <w:bottom w:val="single" w:color="auto" w:sz="4" w:space="0"/>
              <w:right w:val="single" w:color="auto" w:sz="4" w:space="0"/>
            </w:tcBorders>
          </w:tcPr>
          <w:p w14:paraId="1FFFBEF4">
            <w:pPr>
              <w:spacing w:line="360" w:lineRule="auto"/>
              <w:rPr>
                <w:rFonts w:ascii="仿宋" w:hAnsi="仿宋" w:eastAsia="仿宋"/>
                <w:color w:val="000000"/>
                <w:kern w:val="0"/>
                <w:sz w:val="28"/>
                <w:szCs w:val="28"/>
              </w:rPr>
            </w:pPr>
          </w:p>
        </w:tc>
        <w:tc>
          <w:tcPr>
            <w:tcW w:w="4486" w:type="dxa"/>
            <w:tcBorders>
              <w:top w:val="single" w:color="auto" w:sz="4" w:space="0"/>
              <w:left w:val="single" w:color="auto" w:sz="4" w:space="0"/>
              <w:bottom w:val="single" w:color="auto" w:sz="4" w:space="0"/>
              <w:right w:val="single" w:color="auto" w:sz="4" w:space="0"/>
            </w:tcBorders>
          </w:tcPr>
          <w:p w14:paraId="3C32FA06">
            <w:pPr>
              <w:spacing w:line="360" w:lineRule="auto"/>
              <w:rPr>
                <w:rFonts w:ascii="仿宋" w:hAnsi="仿宋" w:eastAsia="仿宋"/>
                <w:color w:val="000000"/>
                <w:kern w:val="0"/>
                <w:sz w:val="28"/>
                <w:szCs w:val="28"/>
              </w:rPr>
            </w:pPr>
          </w:p>
        </w:tc>
        <w:tc>
          <w:tcPr>
            <w:tcW w:w="1893" w:type="dxa"/>
            <w:tcBorders>
              <w:top w:val="single" w:color="auto" w:sz="4" w:space="0"/>
              <w:left w:val="single" w:color="auto" w:sz="4" w:space="0"/>
              <w:bottom w:val="single" w:color="auto" w:sz="4" w:space="0"/>
              <w:right w:val="single" w:color="auto" w:sz="4" w:space="0"/>
            </w:tcBorders>
          </w:tcPr>
          <w:p w14:paraId="1C8C02CF">
            <w:pPr>
              <w:spacing w:line="360" w:lineRule="auto"/>
              <w:rPr>
                <w:rFonts w:ascii="仿宋" w:hAnsi="仿宋" w:eastAsia="仿宋"/>
                <w:color w:val="000000"/>
                <w:kern w:val="0"/>
                <w:sz w:val="28"/>
                <w:szCs w:val="28"/>
              </w:rPr>
            </w:pPr>
          </w:p>
        </w:tc>
      </w:tr>
      <w:tr w14:paraId="70EBD2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43" w:type="dxa"/>
            <w:tcBorders>
              <w:top w:val="single" w:color="auto" w:sz="4" w:space="0"/>
              <w:left w:val="single" w:color="auto" w:sz="4" w:space="0"/>
              <w:bottom w:val="single" w:color="auto" w:sz="4" w:space="0"/>
              <w:right w:val="single" w:color="auto" w:sz="4" w:space="0"/>
            </w:tcBorders>
          </w:tcPr>
          <w:p w14:paraId="5CC9FC65">
            <w:pPr>
              <w:spacing w:line="360" w:lineRule="auto"/>
              <w:rPr>
                <w:rFonts w:ascii="仿宋" w:hAnsi="仿宋" w:eastAsia="仿宋"/>
                <w:color w:val="000000"/>
                <w:kern w:val="0"/>
                <w:sz w:val="28"/>
                <w:szCs w:val="28"/>
              </w:rPr>
            </w:pPr>
          </w:p>
        </w:tc>
        <w:tc>
          <w:tcPr>
            <w:tcW w:w="4486" w:type="dxa"/>
            <w:tcBorders>
              <w:top w:val="single" w:color="auto" w:sz="4" w:space="0"/>
              <w:left w:val="single" w:color="auto" w:sz="4" w:space="0"/>
              <w:bottom w:val="single" w:color="auto" w:sz="4" w:space="0"/>
              <w:right w:val="single" w:color="auto" w:sz="4" w:space="0"/>
            </w:tcBorders>
          </w:tcPr>
          <w:p w14:paraId="1C16E87A">
            <w:pPr>
              <w:spacing w:line="360" w:lineRule="auto"/>
              <w:rPr>
                <w:rFonts w:ascii="仿宋" w:hAnsi="仿宋" w:eastAsia="仿宋"/>
                <w:color w:val="000000"/>
                <w:kern w:val="0"/>
                <w:sz w:val="28"/>
                <w:szCs w:val="28"/>
              </w:rPr>
            </w:pPr>
          </w:p>
        </w:tc>
        <w:tc>
          <w:tcPr>
            <w:tcW w:w="1893" w:type="dxa"/>
            <w:tcBorders>
              <w:top w:val="single" w:color="auto" w:sz="4" w:space="0"/>
              <w:left w:val="single" w:color="auto" w:sz="4" w:space="0"/>
              <w:bottom w:val="single" w:color="auto" w:sz="4" w:space="0"/>
              <w:right w:val="single" w:color="auto" w:sz="4" w:space="0"/>
            </w:tcBorders>
          </w:tcPr>
          <w:p w14:paraId="00E94ABE">
            <w:pPr>
              <w:spacing w:line="360" w:lineRule="auto"/>
              <w:rPr>
                <w:rFonts w:ascii="仿宋" w:hAnsi="仿宋" w:eastAsia="仿宋"/>
                <w:color w:val="000000"/>
                <w:kern w:val="0"/>
                <w:sz w:val="28"/>
                <w:szCs w:val="28"/>
              </w:rPr>
            </w:pPr>
          </w:p>
        </w:tc>
      </w:tr>
      <w:tr w14:paraId="1A8C75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43" w:type="dxa"/>
            <w:tcBorders>
              <w:top w:val="single" w:color="auto" w:sz="4" w:space="0"/>
              <w:left w:val="single" w:color="auto" w:sz="4" w:space="0"/>
              <w:bottom w:val="single" w:color="auto" w:sz="4" w:space="0"/>
              <w:right w:val="single" w:color="auto" w:sz="4" w:space="0"/>
            </w:tcBorders>
          </w:tcPr>
          <w:p w14:paraId="36B56E80">
            <w:pPr>
              <w:spacing w:line="360" w:lineRule="auto"/>
              <w:rPr>
                <w:rFonts w:ascii="仿宋" w:hAnsi="仿宋" w:eastAsia="仿宋"/>
                <w:color w:val="000000"/>
                <w:kern w:val="0"/>
                <w:sz w:val="28"/>
                <w:szCs w:val="28"/>
              </w:rPr>
            </w:pPr>
          </w:p>
        </w:tc>
        <w:tc>
          <w:tcPr>
            <w:tcW w:w="4486" w:type="dxa"/>
            <w:tcBorders>
              <w:top w:val="single" w:color="auto" w:sz="4" w:space="0"/>
              <w:left w:val="single" w:color="auto" w:sz="4" w:space="0"/>
              <w:bottom w:val="single" w:color="auto" w:sz="4" w:space="0"/>
              <w:right w:val="single" w:color="auto" w:sz="4" w:space="0"/>
            </w:tcBorders>
          </w:tcPr>
          <w:p w14:paraId="7EDD6BED">
            <w:pPr>
              <w:spacing w:line="360" w:lineRule="auto"/>
              <w:rPr>
                <w:rFonts w:ascii="仿宋" w:hAnsi="仿宋" w:eastAsia="仿宋"/>
                <w:color w:val="000000"/>
                <w:kern w:val="0"/>
                <w:sz w:val="28"/>
                <w:szCs w:val="28"/>
              </w:rPr>
            </w:pPr>
          </w:p>
        </w:tc>
        <w:tc>
          <w:tcPr>
            <w:tcW w:w="1893" w:type="dxa"/>
            <w:tcBorders>
              <w:top w:val="single" w:color="auto" w:sz="4" w:space="0"/>
              <w:left w:val="single" w:color="auto" w:sz="4" w:space="0"/>
              <w:bottom w:val="single" w:color="auto" w:sz="4" w:space="0"/>
              <w:right w:val="single" w:color="auto" w:sz="4" w:space="0"/>
            </w:tcBorders>
          </w:tcPr>
          <w:p w14:paraId="787B1117">
            <w:pPr>
              <w:spacing w:line="360" w:lineRule="auto"/>
              <w:rPr>
                <w:rFonts w:ascii="仿宋" w:hAnsi="仿宋" w:eastAsia="仿宋"/>
                <w:color w:val="000000"/>
                <w:kern w:val="0"/>
                <w:sz w:val="28"/>
                <w:szCs w:val="28"/>
              </w:rPr>
            </w:pPr>
          </w:p>
        </w:tc>
      </w:tr>
    </w:tbl>
    <w:p w14:paraId="3125E930">
      <w:pPr>
        <w:spacing w:line="360" w:lineRule="auto"/>
        <w:rPr>
          <w:rFonts w:ascii="仿宋" w:hAnsi="仿宋" w:eastAsia="仿宋"/>
          <w:color w:val="000000"/>
          <w:sz w:val="28"/>
          <w:szCs w:val="28"/>
        </w:rPr>
      </w:pPr>
    </w:p>
    <w:p w14:paraId="4A21D24D">
      <w:pPr>
        <w:spacing w:line="360" w:lineRule="auto"/>
        <w:ind w:firstLine="565" w:firstLineChars="202"/>
        <w:rPr>
          <w:rFonts w:ascii="仿宋" w:hAnsi="仿宋" w:eastAsia="仿宋"/>
          <w:color w:val="000000"/>
          <w:sz w:val="28"/>
          <w:szCs w:val="28"/>
          <w:u w:val="single"/>
        </w:rPr>
      </w:pPr>
      <w:r>
        <w:rPr>
          <w:rFonts w:hint="eastAsia" w:ascii="仿宋" w:hAnsi="仿宋" w:eastAsia="仿宋"/>
          <w:color w:val="000000"/>
          <w:sz w:val="28"/>
          <w:szCs w:val="28"/>
        </w:rPr>
        <w:t xml:space="preserve">竞租人： </w:t>
      </w:r>
    </w:p>
    <w:p w14:paraId="16275593">
      <w:pPr>
        <w:spacing w:line="360" w:lineRule="auto"/>
        <w:ind w:firstLine="565" w:firstLineChars="202"/>
        <w:rPr>
          <w:rFonts w:ascii="仿宋" w:hAnsi="仿宋" w:eastAsia="仿宋"/>
          <w:color w:val="000000"/>
          <w:sz w:val="28"/>
          <w:szCs w:val="28"/>
        </w:rPr>
      </w:pPr>
    </w:p>
    <w:p w14:paraId="36DD5164">
      <w:pPr>
        <w:spacing w:line="360" w:lineRule="auto"/>
        <w:ind w:firstLine="565" w:firstLineChars="202"/>
        <w:rPr>
          <w:rFonts w:ascii="仿宋" w:hAnsi="仿宋" w:eastAsia="仿宋"/>
          <w:color w:val="000000"/>
          <w:sz w:val="28"/>
          <w:szCs w:val="28"/>
          <w:u w:val="single"/>
        </w:rPr>
      </w:pPr>
      <w:r>
        <w:rPr>
          <w:rFonts w:hint="eastAsia" w:ascii="仿宋" w:hAnsi="仿宋" w:eastAsia="仿宋"/>
          <w:color w:val="000000"/>
          <w:sz w:val="28"/>
          <w:szCs w:val="28"/>
        </w:rPr>
        <w:t>法定代表人：</w:t>
      </w:r>
    </w:p>
    <w:p w14:paraId="194742EF">
      <w:pPr>
        <w:spacing w:line="360" w:lineRule="auto"/>
        <w:ind w:firstLine="565" w:firstLineChars="202"/>
        <w:rPr>
          <w:rFonts w:ascii="仿宋" w:hAnsi="仿宋" w:eastAsia="仿宋"/>
          <w:color w:val="000000"/>
          <w:sz w:val="28"/>
          <w:szCs w:val="28"/>
        </w:rPr>
      </w:pPr>
    </w:p>
    <w:p w14:paraId="6ED636B7">
      <w:pPr>
        <w:spacing w:line="360" w:lineRule="auto"/>
        <w:ind w:firstLine="565" w:firstLineChars="202"/>
        <w:rPr>
          <w:rFonts w:ascii="仿宋" w:hAnsi="仿宋" w:eastAsia="仿宋"/>
          <w:color w:val="000000"/>
          <w:sz w:val="28"/>
          <w:szCs w:val="28"/>
          <w:u w:val="single"/>
        </w:rPr>
      </w:pPr>
      <w:r>
        <w:rPr>
          <w:rFonts w:hint="eastAsia" w:ascii="仿宋" w:hAnsi="仿宋" w:eastAsia="仿宋"/>
          <w:color w:val="000000"/>
          <w:sz w:val="28"/>
          <w:szCs w:val="28"/>
        </w:rPr>
        <w:t>委托代理人：</w:t>
      </w:r>
    </w:p>
    <w:p w14:paraId="47ECF17A">
      <w:pPr>
        <w:spacing w:line="360" w:lineRule="auto"/>
        <w:ind w:firstLine="565" w:firstLineChars="202"/>
        <w:rPr>
          <w:rFonts w:ascii="仿宋" w:hAnsi="仿宋" w:eastAsia="仿宋"/>
          <w:color w:val="000000"/>
          <w:sz w:val="28"/>
          <w:szCs w:val="28"/>
          <w:u w:val="single"/>
        </w:rPr>
      </w:pPr>
    </w:p>
    <w:p w14:paraId="1F192C9B">
      <w:pPr>
        <w:spacing w:line="360" w:lineRule="auto"/>
        <w:ind w:firstLine="565" w:firstLineChars="202"/>
        <w:rPr>
          <w:rFonts w:ascii="仿宋" w:hAnsi="仿宋" w:eastAsia="仿宋"/>
          <w:color w:val="000000"/>
          <w:sz w:val="28"/>
          <w:szCs w:val="28"/>
        </w:rPr>
      </w:pPr>
      <w:r>
        <w:rPr>
          <w:rFonts w:hint="eastAsia" w:ascii="仿宋" w:hAnsi="仿宋" w:eastAsia="仿宋"/>
          <w:color w:val="000000"/>
          <w:sz w:val="28"/>
          <w:szCs w:val="28"/>
        </w:rPr>
        <w:t>时间：2025年  月  日</w:t>
      </w:r>
    </w:p>
    <w:p w14:paraId="39DD6F1A">
      <w:pPr>
        <w:spacing w:line="360" w:lineRule="auto"/>
        <w:ind w:firstLine="565" w:firstLineChars="202"/>
        <w:rPr>
          <w:rFonts w:ascii="仿宋" w:hAnsi="仿宋" w:eastAsia="仿宋"/>
          <w:color w:val="000000"/>
          <w:sz w:val="28"/>
          <w:szCs w:val="28"/>
        </w:rPr>
      </w:pPr>
    </w:p>
    <w:p w14:paraId="746DBBD8">
      <w:pPr>
        <w:spacing w:line="360" w:lineRule="auto"/>
        <w:rPr>
          <w:rFonts w:ascii="幼圆" w:hAnsi="仿宋" w:eastAsia="幼圆"/>
          <w:b/>
          <w:color w:val="000000"/>
          <w:sz w:val="28"/>
          <w:szCs w:val="28"/>
        </w:rPr>
      </w:pPr>
    </w:p>
    <w:p w14:paraId="3576C487">
      <w:pPr>
        <w:spacing w:line="360" w:lineRule="auto"/>
        <w:rPr>
          <w:rFonts w:ascii="幼圆" w:hAnsi="仿宋" w:eastAsia="幼圆"/>
          <w:b/>
          <w:color w:val="000000"/>
          <w:sz w:val="28"/>
          <w:szCs w:val="28"/>
        </w:rPr>
      </w:pPr>
    </w:p>
    <w:p w14:paraId="71F5655D">
      <w:pPr>
        <w:spacing w:line="360" w:lineRule="auto"/>
        <w:rPr>
          <w:rFonts w:ascii="幼圆" w:hAnsi="仿宋" w:eastAsia="幼圆"/>
          <w:b/>
          <w:color w:val="000000"/>
          <w:sz w:val="28"/>
          <w:szCs w:val="28"/>
        </w:rPr>
      </w:pPr>
    </w:p>
    <w:p w14:paraId="361C24EA">
      <w:pPr>
        <w:spacing w:line="360" w:lineRule="auto"/>
        <w:rPr>
          <w:rFonts w:ascii="幼圆" w:hAnsi="仿宋" w:eastAsia="幼圆"/>
          <w:b/>
          <w:color w:val="000000"/>
          <w:sz w:val="28"/>
          <w:szCs w:val="28"/>
        </w:rPr>
      </w:pPr>
    </w:p>
    <w:p w14:paraId="30C871F5">
      <w:pPr>
        <w:spacing w:line="360" w:lineRule="auto"/>
        <w:rPr>
          <w:rFonts w:ascii="幼圆" w:hAnsi="仿宋" w:eastAsia="幼圆"/>
          <w:b/>
          <w:color w:val="000000"/>
          <w:sz w:val="28"/>
          <w:szCs w:val="28"/>
        </w:rPr>
      </w:pPr>
      <w:r>
        <w:rPr>
          <w:rFonts w:hint="eastAsia" w:ascii="幼圆" w:hAnsi="仿宋" w:eastAsia="幼圆"/>
          <w:b/>
          <w:color w:val="000000"/>
          <w:sz w:val="28"/>
          <w:szCs w:val="28"/>
        </w:rPr>
        <w:t>附件12：授权委托书</w:t>
      </w:r>
    </w:p>
    <w:p w14:paraId="23AA105F">
      <w:pPr>
        <w:spacing w:line="720" w:lineRule="auto"/>
        <w:jc w:val="center"/>
        <w:rPr>
          <w:rFonts w:ascii="宋体" w:hAnsi="宋体"/>
          <w:b/>
          <w:color w:val="000000"/>
          <w:sz w:val="32"/>
          <w:szCs w:val="32"/>
        </w:rPr>
      </w:pPr>
      <w:r>
        <w:rPr>
          <w:rFonts w:hint="eastAsia" w:ascii="宋体" w:hAnsi="宋体"/>
          <w:b/>
          <w:color w:val="000000"/>
          <w:sz w:val="32"/>
          <w:szCs w:val="32"/>
        </w:rPr>
        <w:t>授权委托书</w:t>
      </w:r>
    </w:p>
    <w:p w14:paraId="4FB4BD35">
      <w:pPr>
        <w:spacing w:line="560" w:lineRule="exact"/>
        <w:rPr>
          <w:rFonts w:ascii="仿宋" w:hAnsi="仿宋" w:eastAsia="仿宋"/>
          <w:color w:val="000000"/>
          <w:sz w:val="28"/>
          <w:szCs w:val="28"/>
        </w:rPr>
      </w:pPr>
      <w:r>
        <w:rPr>
          <w:rFonts w:hint="eastAsia" w:ascii="仿宋" w:hAnsi="仿宋" w:eastAsia="仿宋"/>
          <w:color w:val="000000"/>
          <w:sz w:val="28"/>
          <w:szCs w:val="28"/>
        </w:rPr>
        <w:t>致出租人:盐城市新滩盐场实业发展有限公司</w:t>
      </w:r>
    </w:p>
    <w:p w14:paraId="2B2863AA">
      <w:pPr>
        <w:spacing w:line="540" w:lineRule="exact"/>
        <w:ind w:firstLine="565" w:firstLineChars="202"/>
        <w:rPr>
          <w:rFonts w:ascii="仿宋" w:hAnsi="仿宋" w:eastAsia="仿宋"/>
          <w:color w:val="000000"/>
          <w:sz w:val="28"/>
          <w:szCs w:val="28"/>
          <w:u w:val="single"/>
        </w:rPr>
      </w:pPr>
      <w:r>
        <w:rPr>
          <w:rFonts w:hint="eastAsia" w:ascii="仿宋" w:hAnsi="仿宋" w:eastAsia="仿宋"/>
          <w:color w:val="000000"/>
          <w:sz w:val="28"/>
          <w:szCs w:val="28"/>
        </w:rPr>
        <w:t xml:space="preserve"> 兹因我单位参加贵方2025年5610亩闲置土地出租的招租，现委托我单位职工</w:t>
      </w:r>
      <w:r>
        <w:rPr>
          <w:rFonts w:hint="eastAsia" w:ascii="仿宋" w:hAnsi="仿宋" w:eastAsia="仿宋"/>
          <w:color w:val="000000"/>
          <w:sz w:val="28"/>
          <w:szCs w:val="28"/>
          <w:u w:val="single"/>
        </w:rPr>
        <w:t xml:space="preserve">      </w:t>
      </w:r>
      <w:r>
        <w:rPr>
          <w:rFonts w:hint="eastAsia" w:ascii="仿宋" w:hAnsi="仿宋" w:eastAsia="仿宋"/>
          <w:color w:val="000000"/>
          <w:sz w:val="28"/>
          <w:szCs w:val="28"/>
        </w:rPr>
        <w:t>同志（身份证号码:</w:t>
      </w:r>
      <w:r>
        <w:rPr>
          <w:rFonts w:hint="eastAsia" w:ascii="仿宋" w:hAnsi="仿宋" w:eastAsia="仿宋"/>
          <w:color w:val="000000"/>
          <w:sz w:val="28"/>
          <w:szCs w:val="28"/>
          <w:u w:val="single"/>
        </w:rPr>
        <w:t xml:space="preserve">          </w:t>
      </w:r>
      <w:r>
        <w:rPr>
          <w:rFonts w:hint="eastAsia" w:ascii="仿宋" w:hAnsi="仿宋" w:eastAsia="仿宋"/>
          <w:color w:val="000000"/>
          <w:sz w:val="28"/>
          <w:szCs w:val="28"/>
        </w:rPr>
        <w:t>）作为我方代理人，代表我方参加池塘竞租活动。该同志在贵方招租过程中签署的任何文件资料，均视同我方签署，我方在任何时候、任何情况下均予以认可，并接受其所签署文件的约束。</w:t>
      </w:r>
    </w:p>
    <w:p w14:paraId="55F272C9">
      <w:pPr>
        <w:spacing w:line="54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代理人有权代表我方签署或签收的文件，包括但不限于：</w:t>
      </w:r>
    </w:p>
    <w:p w14:paraId="1E45E04E">
      <w:pPr>
        <w:spacing w:line="54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（1）《声明书》</w:t>
      </w:r>
    </w:p>
    <w:p w14:paraId="7DF7A464">
      <w:pPr>
        <w:spacing w:line="54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（2）《竞租池塘登记表》</w:t>
      </w:r>
    </w:p>
    <w:p w14:paraId="5803C39B">
      <w:pPr>
        <w:spacing w:line="54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（3）《竞租报价表》</w:t>
      </w:r>
    </w:p>
    <w:p w14:paraId="4763A6A3">
      <w:pPr>
        <w:spacing w:line="54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（4）《中标确认书》</w:t>
      </w:r>
    </w:p>
    <w:p w14:paraId="434FB2E9">
      <w:pPr>
        <w:spacing w:line="54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 xml:space="preserve">（5）《土地租赁合同》 </w:t>
      </w:r>
    </w:p>
    <w:p w14:paraId="6B3781E8">
      <w:pPr>
        <w:spacing w:line="54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 xml:space="preserve">（6）《确认书》 </w:t>
      </w:r>
    </w:p>
    <w:p w14:paraId="5741F29D">
      <w:pPr>
        <w:spacing w:line="54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（7）《承诺书》</w:t>
      </w:r>
    </w:p>
    <w:p w14:paraId="19708E20">
      <w:pPr>
        <w:spacing w:line="54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 xml:space="preserve">（8）其他的池塘招租文件资料和招租过程的程序性文件资料 </w:t>
      </w:r>
    </w:p>
    <w:p w14:paraId="0BF9EC57">
      <w:pPr>
        <w:spacing w:line="360" w:lineRule="auto"/>
        <w:ind w:firstLine="565" w:firstLineChars="202"/>
        <w:rPr>
          <w:rFonts w:ascii="仿宋" w:hAnsi="仿宋" w:eastAsia="仿宋"/>
          <w:color w:val="000000"/>
          <w:sz w:val="28"/>
          <w:szCs w:val="28"/>
        </w:rPr>
      </w:pPr>
    </w:p>
    <w:p w14:paraId="6C77B8C6">
      <w:pPr>
        <w:spacing w:line="360" w:lineRule="auto"/>
        <w:ind w:firstLine="565" w:firstLineChars="202"/>
        <w:rPr>
          <w:rFonts w:ascii="仿宋" w:hAnsi="仿宋" w:eastAsia="仿宋"/>
          <w:color w:val="000000"/>
          <w:sz w:val="28"/>
          <w:szCs w:val="28"/>
          <w:u w:val="single"/>
        </w:rPr>
      </w:pPr>
      <w:r>
        <w:rPr>
          <w:rFonts w:hint="eastAsia" w:ascii="仿宋" w:hAnsi="仿宋" w:eastAsia="仿宋"/>
          <w:color w:val="000000"/>
          <w:sz w:val="28"/>
          <w:szCs w:val="28"/>
        </w:rPr>
        <w:t>竞租人（委托单位）：</w:t>
      </w:r>
    </w:p>
    <w:p w14:paraId="2FFFBD93">
      <w:pPr>
        <w:spacing w:line="360" w:lineRule="auto"/>
        <w:ind w:firstLine="565" w:firstLineChars="202"/>
        <w:rPr>
          <w:rFonts w:ascii="仿宋" w:hAnsi="仿宋" w:eastAsia="仿宋"/>
          <w:color w:val="000000"/>
          <w:sz w:val="28"/>
          <w:szCs w:val="28"/>
          <w:u w:val="single"/>
        </w:rPr>
      </w:pPr>
      <w:r>
        <w:rPr>
          <w:rFonts w:hint="eastAsia" w:ascii="仿宋" w:hAnsi="仿宋" w:eastAsia="仿宋"/>
          <w:color w:val="000000"/>
          <w:sz w:val="28"/>
          <w:szCs w:val="28"/>
        </w:rPr>
        <w:t>法定代表人：</w:t>
      </w:r>
    </w:p>
    <w:p w14:paraId="73BDAD2D">
      <w:pPr>
        <w:spacing w:line="360" w:lineRule="auto"/>
        <w:ind w:firstLine="565" w:firstLineChars="202"/>
        <w:rPr>
          <w:rFonts w:ascii="仿宋" w:hAnsi="仿宋" w:eastAsia="仿宋"/>
          <w:color w:val="000000"/>
          <w:sz w:val="28"/>
          <w:szCs w:val="28"/>
          <w:u w:val="single"/>
        </w:rPr>
      </w:pPr>
      <w:r>
        <w:rPr>
          <w:rFonts w:hint="eastAsia" w:ascii="仿宋" w:hAnsi="仿宋" w:eastAsia="仿宋"/>
          <w:color w:val="000000"/>
          <w:sz w:val="28"/>
          <w:szCs w:val="28"/>
        </w:rPr>
        <w:t>联系电话：</w:t>
      </w:r>
    </w:p>
    <w:p w14:paraId="33C3E0CE">
      <w:pPr>
        <w:spacing w:line="360" w:lineRule="auto"/>
        <w:ind w:firstLine="4762" w:firstLineChars="1701"/>
        <w:rPr>
          <w:rFonts w:ascii="仿宋" w:hAnsi="仿宋" w:eastAsia="仿宋"/>
          <w:color w:val="000000"/>
          <w:sz w:val="28"/>
          <w:szCs w:val="28"/>
        </w:rPr>
      </w:pPr>
      <w:r>
        <w:rPr>
          <w:rFonts w:hint="eastAsia" w:ascii="仿宋" w:hAnsi="仿宋" w:eastAsia="仿宋"/>
          <w:color w:val="000000"/>
          <w:sz w:val="28"/>
          <w:szCs w:val="28"/>
        </w:rPr>
        <w:t xml:space="preserve">二〇二五年  月  日 </w:t>
      </w:r>
    </w:p>
    <w:p w14:paraId="0FAF4BFE">
      <w:pPr>
        <w:spacing w:line="360" w:lineRule="auto"/>
        <w:ind w:firstLine="565" w:firstLineChars="202"/>
        <w:rPr>
          <w:rFonts w:ascii="仿宋" w:hAnsi="仿宋" w:eastAsia="仿宋"/>
          <w:color w:val="000000"/>
          <w:sz w:val="28"/>
          <w:szCs w:val="28"/>
        </w:rPr>
      </w:pPr>
    </w:p>
    <w:p w14:paraId="5DE1E978">
      <w:pPr>
        <w:spacing w:line="360" w:lineRule="auto"/>
        <w:rPr>
          <w:rFonts w:ascii="幼圆" w:hAnsi="仿宋" w:eastAsia="幼圆"/>
          <w:b/>
          <w:color w:val="000000"/>
          <w:sz w:val="28"/>
          <w:szCs w:val="28"/>
        </w:rPr>
      </w:pPr>
      <w:r>
        <w:rPr>
          <w:rFonts w:hint="eastAsia" w:ascii="幼圆" w:hAnsi="仿宋" w:eastAsia="幼圆"/>
          <w:b/>
          <w:color w:val="000000"/>
          <w:sz w:val="28"/>
          <w:szCs w:val="28"/>
        </w:rPr>
        <w:t>附件13：《土地租赁合同担保书》</w:t>
      </w:r>
    </w:p>
    <w:p w14:paraId="16527400">
      <w:pPr>
        <w:spacing w:line="240" w:lineRule="exact"/>
        <w:ind w:firstLine="565" w:firstLineChars="202"/>
        <w:rPr>
          <w:rFonts w:ascii="仿宋" w:hAnsi="仿宋" w:eastAsia="仿宋"/>
          <w:color w:val="000000"/>
          <w:sz w:val="28"/>
          <w:szCs w:val="28"/>
        </w:rPr>
      </w:pPr>
    </w:p>
    <w:p w14:paraId="3D9A8A66">
      <w:pPr>
        <w:spacing w:line="480" w:lineRule="exact"/>
        <w:jc w:val="center"/>
        <w:rPr>
          <w:rFonts w:ascii="宋体" w:hAnsi="宋体"/>
          <w:b/>
          <w:color w:val="000000"/>
          <w:sz w:val="32"/>
          <w:szCs w:val="32"/>
        </w:rPr>
      </w:pPr>
      <w:r>
        <w:rPr>
          <w:rFonts w:hint="eastAsia" w:ascii="宋体" w:hAnsi="宋体"/>
          <w:b/>
          <w:color w:val="000000"/>
          <w:sz w:val="32"/>
          <w:szCs w:val="32"/>
        </w:rPr>
        <w:t>土地租赁合同担保书</w:t>
      </w:r>
    </w:p>
    <w:p w14:paraId="1D4E0FBD">
      <w:pPr>
        <w:spacing w:line="480" w:lineRule="exact"/>
        <w:jc w:val="center"/>
        <w:rPr>
          <w:rFonts w:ascii="宋体" w:hAnsi="宋体"/>
          <w:b/>
          <w:color w:val="000000"/>
          <w:sz w:val="32"/>
          <w:szCs w:val="32"/>
        </w:rPr>
      </w:pPr>
    </w:p>
    <w:p w14:paraId="394499C2">
      <w:pPr>
        <w:spacing w:line="480" w:lineRule="exact"/>
        <w:rPr>
          <w:rFonts w:ascii="仿宋" w:hAnsi="仿宋" w:eastAsia="仿宋"/>
          <w:b/>
          <w:color w:val="000000"/>
          <w:sz w:val="28"/>
          <w:szCs w:val="28"/>
        </w:rPr>
      </w:pPr>
      <w:r>
        <w:rPr>
          <w:rFonts w:hint="eastAsia" w:ascii="仿宋" w:hAnsi="仿宋" w:eastAsia="仿宋"/>
          <w:b/>
          <w:color w:val="000000"/>
          <w:sz w:val="28"/>
          <w:szCs w:val="28"/>
        </w:rPr>
        <w:t>致出租人:盐城市新滩盐场实业发展有限公司</w:t>
      </w:r>
    </w:p>
    <w:p w14:paraId="65B6E55A">
      <w:pPr>
        <w:spacing w:line="480" w:lineRule="exact"/>
        <w:ind w:firstLine="565" w:firstLineChars="202"/>
        <w:rPr>
          <w:rFonts w:ascii="仿宋" w:hAnsi="仿宋" w:eastAsia="仿宋"/>
          <w:color w:val="000000"/>
          <w:sz w:val="28"/>
          <w:szCs w:val="28"/>
          <w:u w:val="single"/>
        </w:rPr>
      </w:pPr>
      <w:r>
        <w:rPr>
          <w:rFonts w:hint="eastAsia" w:ascii="仿宋" w:hAnsi="仿宋" w:eastAsia="仿宋"/>
          <w:color w:val="000000"/>
          <w:sz w:val="28"/>
          <w:szCs w:val="28"/>
        </w:rPr>
        <w:t>本担保人是 □国有企业 □上市公司 □公务员。因竞租人（证件名称及编号：</w:t>
      </w:r>
      <w:r>
        <w:rPr>
          <w:rFonts w:hint="eastAsia" w:ascii="仿宋" w:hAnsi="仿宋" w:eastAsia="仿宋"/>
          <w:color w:val="000000"/>
          <w:sz w:val="28"/>
          <w:szCs w:val="28"/>
          <w:u w:val="single"/>
        </w:rPr>
        <w:t xml:space="preserve">                              </w:t>
      </w:r>
      <w:r>
        <w:rPr>
          <w:rFonts w:hint="eastAsia" w:ascii="仿宋" w:hAnsi="仿宋" w:eastAsia="仿宋"/>
          <w:color w:val="000000"/>
          <w:sz w:val="28"/>
          <w:szCs w:val="28"/>
        </w:rPr>
        <w:t>）拟参加竞租贵方2025年5600亩闲置土地出租公开竞租，我方同意为上述竞租人提供担保。如果上述竞租人在贵方本次土地招租过程中竞租成功的，由上述竞租人与贵方签署《土地租赁合同》。我方愿意为竞租人在《土地租赁合同》中的各项义务提供担保，如果竞租人存在违约、侵权行为的，由我方与竞租人一起向贵方承担违约责任或侵权责任，并且与竞租人一起向贵方承担土地租金的支付义务。</w:t>
      </w:r>
    </w:p>
    <w:p w14:paraId="6056D70E">
      <w:pPr>
        <w:spacing w:line="48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担保期限为自本担保书出具之日起五年。担保期内，担保人保证上述承诺内容不可撤销、不可变更，并严格按照上述承诺履行。</w:t>
      </w:r>
    </w:p>
    <w:p w14:paraId="35B0D619">
      <w:pPr>
        <w:spacing w:line="48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另外，如果竞租人是贵方原承租人/承包人的，本担保人对竞租人在不能竞租成功的情况下退还原承租池塘/水库的《确认书》提供担保，并同意为竞租人签署的《确认书》中的各项义务提供担保。</w:t>
      </w:r>
    </w:p>
    <w:p w14:paraId="32842993">
      <w:pPr>
        <w:spacing w:line="480" w:lineRule="exact"/>
        <w:ind w:firstLine="565" w:firstLineChars="202"/>
        <w:rPr>
          <w:rFonts w:ascii="仿宋" w:hAnsi="仿宋" w:eastAsia="仿宋"/>
          <w:color w:val="000000"/>
          <w:sz w:val="28"/>
          <w:szCs w:val="28"/>
          <w:u w:val="single"/>
        </w:rPr>
      </w:pPr>
      <w:r>
        <w:rPr>
          <w:rFonts w:hint="eastAsia" w:ascii="仿宋" w:hAnsi="仿宋" w:eastAsia="仿宋"/>
          <w:color w:val="000000"/>
          <w:sz w:val="28"/>
          <w:szCs w:val="28"/>
        </w:rPr>
        <w:t>担保人的送达地址：</w:t>
      </w:r>
    </w:p>
    <w:p w14:paraId="71786FB0">
      <w:pPr>
        <w:spacing w:line="480" w:lineRule="exact"/>
        <w:ind w:firstLine="565" w:firstLineChars="202"/>
        <w:rPr>
          <w:rFonts w:ascii="仿宋" w:hAnsi="仿宋" w:eastAsia="仿宋"/>
          <w:color w:val="000000"/>
          <w:sz w:val="28"/>
          <w:szCs w:val="28"/>
          <w:u w:val="single"/>
        </w:rPr>
      </w:pPr>
      <w:r>
        <w:rPr>
          <w:rFonts w:hint="eastAsia" w:ascii="仿宋" w:hAnsi="仿宋" w:eastAsia="仿宋"/>
          <w:color w:val="000000"/>
          <w:sz w:val="28"/>
          <w:szCs w:val="28"/>
        </w:rPr>
        <w:t>联系电话：</w:t>
      </w:r>
    </w:p>
    <w:p w14:paraId="52DD4575">
      <w:pPr>
        <w:spacing w:line="480" w:lineRule="exact"/>
        <w:ind w:firstLine="565" w:firstLineChars="202"/>
        <w:rPr>
          <w:rFonts w:ascii="仿宋" w:hAnsi="仿宋" w:eastAsia="仿宋"/>
          <w:color w:val="000000"/>
          <w:sz w:val="28"/>
          <w:szCs w:val="28"/>
        </w:rPr>
      </w:pPr>
      <w:r>
        <w:rPr>
          <w:rFonts w:hint="eastAsia" w:ascii="仿宋" w:hAnsi="仿宋" w:eastAsia="仿宋"/>
          <w:color w:val="000000"/>
          <w:sz w:val="28"/>
          <w:szCs w:val="28"/>
        </w:rPr>
        <w:t>（担保人身份证明文件的复印件附后）</w:t>
      </w:r>
    </w:p>
    <w:p w14:paraId="0C9D4781">
      <w:pPr>
        <w:spacing w:line="480" w:lineRule="exact"/>
        <w:ind w:firstLine="565" w:firstLineChars="202"/>
        <w:rPr>
          <w:rFonts w:ascii="仿宋" w:hAnsi="仿宋" w:eastAsia="仿宋"/>
          <w:color w:val="000000"/>
          <w:sz w:val="28"/>
          <w:szCs w:val="28"/>
        </w:rPr>
      </w:pPr>
    </w:p>
    <w:p w14:paraId="7F0A1C1F">
      <w:pPr>
        <w:spacing w:line="480" w:lineRule="exact"/>
        <w:ind w:firstLine="565" w:firstLineChars="202"/>
        <w:rPr>
          <w:rFonts w:ascii="仿宋" w:hAnsi="仿宋" w:eastAsia="仿宋"/>
          <w:color w:val="000000"/>
          <w:sz w:val="28"/>
          <w:szCs w:val="28"/>
        </w:rPr>
      </w:pPr>
    </w:p>
    <w:p w14:paraId="44EA75D8">
      <w:pPr>
        <w:spacing w:line="480" w:lineRule="exact"/>
        <w:ind w:firstLine="3827" w:firstLineChars="1367"/>
        <w:rPr>
          <w:rFonts w:ascii="仿宋" w:hAnsi="仿宋" w:eastAsia="仿宋"/>
          <w:color w:val="000000"/>
          <w:sz w:val="28"/>
          <w:szCs w:val="28"/>
        </w:rPr>
      </w:pPr>
      <w:r>
        <w:rPr>
          <w:rFonts w:hint="eastAsia" w:ascii="仿宋" w:hAnsi="仿宋" w:eastAsia="仿宋"/>
          <w:color w:val="000000"/>
          <w:sz w:val="28"/>
          <w:szCs w:val="28"/>
        </w:rPr>
        <w:t>担保人（盖章/签字）：</w:t>
      </w:r>
    </w:p>
    <w:p w14:paraId="65756DCD">
      <w:pPr>
        <w:spacing w:line="480" w:lineRule="exact"/>
        <w:ind w:firstLine="3827" w:firstLineChars="1367"/>
        <w:rPr>
          <w:rFonts w:ascii="仿宋" w:hAnsi="仿宋" w:eastAsia="仿宋"/>
          <w:color w:val="000000"/>
          <w:sz w:val="28"/>
          <w:szCs w:val="28"/>
        </w:rPr>
      </w:pPr>
    </w:p>
    <w:p w14:paraId="699B02D3">
      <w:pPr>
        <w:spacing w:line="480" w:lineRule="exact"/>
        <w:ind w:firstLine="3827" w:firstLineChars="1367"/>
        <w:rPr>
          <w:rFonts w:ascii="仿宋" w:hAnsi="仿宋" w:eastAsia="仿宋"/>
          <w:color w:val="000000"/>
          <w:sz w:val="28"/>
          <w:szCs w:val="28"/>
        </w:rPr>
      </w:pPr>
    </w:p>
    <w:p w14:paraId="45CA0C18">
      <w:pPr>
        <w:spacing w:line="480" w:lineRule="exact"/>
        <w:ind w:firstLine="3827" w:firstLineChars="1367"/>
        <w:rPr>
          <w:rFonts w:ascii="仿宋" w:hAnsi="仿宋" w:eastAsia="仿宋"/>
          <w:color w:val="000000"/>
          <w:sz w:val="28"/>
          <w:szCs w:val="28"/>
        </w:rPr>
      </w:pPr>
    </w:p>
    <w:p w14:paraId="52193801">
      <w:pPr>
        <w:spacing w:line="360" w:lineRule="exact"/>
        <w:ind w:firstLine="3920" w:firstLineChars="1400"/>
        <w:rPr>
          <w:rFonts w:ascii="仿宋" w:hAnsi="仿宋" w:eastAsia="仿宋"/>
          <w:color w:val="000000"/>
          <w:szCs w:val="21"/>
        </w:rPr>
      </w:pPr>
      <w:r>
        <w:rPr>
          <w:rFonts w:hint="eastAsia" w:ascii="仿宋" w:hAnsi="仿宋" w:eastAsia="仿宋"/>
          <w:color w:val="000000"/>
          <w:sz w:val="28"/>
          <w:szCs w:val="28"/>
        </w:rPr>
        <w:t xml:space="preserve">二〇二五年  月  日 </w:t>
      </w:r>
    </w:p>
    <w:p w14:paraId="206148F0"/>
    <w:sectPr>
      <w:pgSz w:w="11906" w:h="16838"/>
      <w:pgMar w:top="1701" w:right="1134" w:bottom="1701" w:left="1701"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方正小标宋_GBK">
    <w:altName w:val="微软雅黑"/>
    <w:panose1 w:val="03000509000000000000"/>
    <w:charset w:val="86"/>
    <w:family w:val="auto"/>
    <w:pitch w:val="default"/>
    <w:sig w:usb0="00000000" w:usb1="00000000" w:usb2="00000000" w:usb3="00000000" w:csb0="00040000" w:csb1="00000000"/>
  </w:font>
  <w:font w:name="方正仿宋_GBK">
    <w:altName w:val="微软雅黑"/>
    <w:panose1 w:val="03000509000000000000"/>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幼圆">
    <w:altName w:val="宋体"/>
    <w:panose1 w:val="02010509060101010101"/>
    <w:charset w:val="86"/>
    <w:family w:val="modern"/>
    <w:pitch w:val="default"/>
    <w:sig w:usb0="00000000" w:usb1="00000000" w:usb2="0000000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Helvetica">
    <w:altName w:val="Arial"/>
    <w:panose1 w:val="020B0604020202020204"/>
    <w:charset w:val="00"/>
    <w:family w:val="swiss"/>
    <w:pitch w:val="default"/>
    <w:sig w:usb0="00000000" w:usb1="00000000" w:usb2="00000000" w:usb3="00000000" w:csb0="0000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JjOTQxYzhjODMyMDAzZmE0MDJkMWFkNmJlNDkwYTUifQ=="/>
  </w:docVars>
  <w:rsids>
    <w:rsidRoot w:val="00DF7CCC"/>
    <w:rsid w:val="00021FC7"/>
    <w:rsid w:val="000A3DF3"/>
    <w:rsid w:val="0012601A"/>
    <w:rsid w:val="00243731"/>
    <w:rsid w:val="00292837"/>
    <w:rsid w:val="0036115E"/>
    <w:rsid w:val="003C53F1"/>
    <w:rsid w:val="003F1C41"/>
    <w:rsid w:val="00400842"/>
    <w:rsid w:val="00420DFB"/>
    <w:rsid w:val="00463220"/>
    <w:rsid w:val="00472475"/>
    <w:rsid w:val="005346F5"/>
    <w:rsid w:val="00584173"/>
    <w:rsid w:val="005A0583"/>
    <w:rsid w:val="005E2B5A"/>
    <w:rsid w:val="00860F5D"/>
    <w:rsid w:val="00873740"/>
    <w:rsid w:val="008B7A81"/>
    <w:rsid w:val="0093122E"/>
    <w:rsid w:val="00A57F2B"/>
    <w:rsid w:val="00A81C63"/>
    <w:rsid w:val="00AA5316"/>
    <w:rsid w:val="00B22B96"/>
    <w:rsid w:val="00B440DA"/>
    <w:rsid w:val="00B63CA2"/>
    <w:rsid w:val="00D54478"/>
    <w:rsid w:val="00DD3186"/>
    <w:rsid w:val="00DF7CCC"/>
    <w:rsid w:val="00E42507"/>
    <w:rsid w:val="00F26633"/>
    <w:rsid w:val="00F641D8"/>
    <w:rsid w:val="00F86DC8"/>
    <w:rsid w:val="00FA3D89"/>
    <w:rsid w:val="029D43FD"/>
    <w:rsid w:val="13EF059C"/>
    <w:rsid w:val="18C648BB"/>
    <w:rsid w:val="1B2E4E30"/>
    <w:rsid w:val="211A27EF"/>
    <w:rsid w:val="22F907A2"/>
    <w:rsid w:val="263338FB"/>
    <w:rsid w:val="2997187E"/>
    <w:rsid w:val="2A9860B3"/>
    <w:rsid w:val="2B5A68AC"/>
    <w:rsid w:val="2CAB38D7"/>
    <w:rsid w:val="2D241F6F"/>
    <w:rsid w:val="31925D39"/>
    <w:rsid w:val="31FE0EF2"/>
    <w:rsid w:val="38A97088"/>
    <w:rsid w:val="3DE118B0"/>
    <w:rsid w:val="43754D8C"/>
    <w:rsid w:val="464F1BEA"/>
    <w:rsid w:val="47BB79BB"/>
    <w:rsid w:val="48692DC5"/>
    <w:rsid w:val="4DA36693"/>
    <w:rsid w:val="51C95B83"/>
    <w:rsid w:val="526843B0"/>
    <w:rsid w:val="56B86EEF"/>
    <w:rsid w:val="5CF32DC6"/>
    <w:rsid w:val="64F25DE5"/>
    <w:rsid w:val="67785A87"/>
    <w:rsid w:val="6C3E478A"/>
    <w:rsid w:val="6D582083"/>
    <w:rsid w:val="6F7D4FAC"/>
    <w:rsid w:val="79554451"/>
    <w:rsid w:val="7B6F55C1"/>
    <w:rsid w:val="7BBF5B36"/>
    <w:rsid w:val="7BC63797"/>
    <w:rsid w:val="7E1178E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23"/>
    <w:qFormat/>
    <w:uiPriority w:val="9"/>
    <w:pPr>
      <w:keepNext/>
      <w:keepLines/>
      <w:spacing w:before="480" w:after="80"/>
      <w:outlineLvl w:val="0"/>
    </w:pPr>
    <w:rPr>
      <w:rFonts w:asciiTheme="majorHAnsi" w:hAnsiTheme="majorHAnsi" w:eastAsiaTheme="majorEastAsia" w:cstheme="majorBidi"/>
      <w:color w:val="104862" w:themeColor="accent1" w:themeShade="BF"/>
      <w:sz w:val="48"/>
      <w:szCs w:val="48"/>
    </w:rPr>
  </w:style>
  <w:style w:type="paragraph" w:styleId="3">
    <w:name w:val="heading 2"/>
    <w:basedOn w:val="1"/>
    <w:next w:val="1"/>
    <w:link w:val="24"/>
    <w:semiHidden/>
    <w:unhideWhenUsed/>
    <w:qFormat/>
    <w:uiPriority w:val="9"/>
    <w:pPr>
      <w:keepNext/>
      <w:keepLines/>
      <w:spacing w:before="160" w:after="80"/>
      <w:outlineLvl w:val="1"/>
    </w:pPr>
    <w:rPr>
      <w:rFonts w:asciiTheme="majorHAnsi" w:hAnsiTheme="majorHAnsi" w:eastAsiaTheme="majorEastAsia" w:cstheme="majorBidi"/>
      <w:color w:val="104862" w:themeColor="accent1" w:themeShade="BF"/>
      <w:sz w:val="40"/>
      <w:szCs w:val="40"/>
    </w:rPr>
  </w:style>
  <w:style w:type="paragraph" w:styleId="4">
    <w:name w:val="heading 3"/>
    <w:basedOn w:val="1"/>
    <w:next w:val="1"/>
    <w:link w:val="25"/>
    <w:semiHidden/>
    <w:unhideWhenUsed/>
    <w:qFormat/>
    <w:uiPriority w:val="9"/>
    <w:pPr>
      <w:keepNext/>
      <w:keepLines/>
      <w:spacing w:before="160" w:after="80"/>
      <w:outlineLvl w:val="2"/>
    </w:pPr>
    <w:rPr>
      <w:rFonts w:asciiTheme="majorHAnsi" w:hAnsiTheme="majorHAnsi" w:eastAsiaTheme="majorEastAsia" w:cstheme="majorBidi"/>
      <w:color w:val="104862" w:themeColor="accent1" w:themeShade="BF"/>
      <w:sz w:val="32"/>
      <w:szCs w:val="32"/>
    </w:rPr>
  </w:style>
  <w:style w:type="paragraph" w:styleId="5">
    <w:name w:val="heading 4"/>
    <w:basedOn w:val="1"/>
    <w:next w:val="1"/>
    <w:link w:val="26"/>
    <w:semiHidden/>
    <w:unhideWhenUsed/>
    <w:qFormat/>
    <w:uiPriority w:val="9"/>
    <w:pPr>
      <w:keepNext/>
      <w:keepLines/>
      <w:spacing w:before="80" w:after="40"/>
      <w:outlineLvl w:val="3"/>
    </w:pPr>
    <w:rPr>
      <w:rFonts w:asciiTheme="minorHAnsi" w:hAnsiTheme="minorHAnsi" w:eastAsiaTheme="minorEastAsia" w:cstheme="majorBidi"/>
      <w:color w:val="104862" w:themeColor="accent1" w:themeShade="BF"/>
      <w:sz w:val="28"/>
      <w:szCs w:val="28"/>
    </w:rPr>
  </w:style>
  <w:style w:type="paragraph" w:styleId="6">
    <w:name w:val="heading 5"/>
    <w:basedOn w:val="1"/>
    <w:next w:val="1"/>
    <w:link w:val="27"/>
    <w:semiHidden/>
    <w:unhideWhenUsed/>
    <w:qFormat/>
    <w:uiPriority w:val="9"/>
    <w:pPr>
      <w:keepNext/>
      <w:keepLines/>
      <w:spacing w:before="80" w:after="40"/>
      <w:outlineLvl w:val="4"/>
    </w:pPr>
    <w:rPr>
      <w:rFonts w:asciiTheme="minorHAnsi" w:hAnsiTheme="minorHAnsi" w:eastAsiaTheme="minorEastAsia" w:cstheme="majorBidi"/>
      <w:color w:val="104862" w:themeColor="accent1" w:themeShade="BF"/>
      <w:sz w:val="24"/>
      <w:szCs w:val="24"/>
    </w:rPr>
  </w:style>
  <w:style w:type="paragraph" w:styleId="7">
    <w:name w:val="heading 6"/>
    <w:basedOn w:val="1"/>
    <w:next w:val="1"/>
    <w:link w:val="28"/>
    <w:semiHidden/>
    <w:unhideWhenUsed/>
    <w:qFormat/>
    <w:uiPriority w:val="9"/>
    <w:pPr>
      <w:keepNext/>
      <w:keepLines/>
      <w:spacing w:before="40"/>
      <w:outlineLvl w:val="5"/>
    </w:pPr>
    <w:rPr>
      <w:rFonts w:asciiTheme="minorHAnsi" w:hAnsiTheme="minorHAnsi" w:eastAsiaTheme="minorEastAsia" w:cstheme="majorBidi"/>
      <w:b/>
      <w:bCs/>
      <w:color w:val="104862" w:themeColor="accent1" w:themeShade="BF"/>
    </w:rPr>
  </w:style>
  <w:style w:type="paragraph" w:styleId="8">
    <w:name w:val="heading 7"/>
    <w:basedOn w:val="1"/>
    <w:next w:val="1"/>
    <w:link w:val="29"/>
    <w:semiHidden/>
    <w:unhideWhenUsed/>
    <w:qFormat/>
    <w:uiPriority w:val="9"/>
    <w:pPr>
      <w:keepNext/>
      <w:keepLines/>
      <w:spacing w:before="40"/>
      <w:outlineLvl w:val="6"/>
    </w:pPr>
    <w:rPr>
      <w:rFonts w:asciiTheme="minorHAnsi" w:hAnsiTheme="minorHAnsi" w:eastAsiaTheme="minorEastAsia" w:cstheme="majorBidi"/>
      <w:b/>
      <w:bCs/>
      <w:color w:val="595959" w:themeColor="text1" w:themeTint="A6"/>
      <w14:textFill>
        <w14:solidFill>
          <w14:schemeClr w14:val="tx1">
            <w14:lumMod w14:val="65000"/>
            <w14:lumOff w14:val="35000"/>
          </w14:schemeClr>
        </w14:solidFill>
      </w14:textFill>
    </w:rPr>
  </w:style>
  <w:style w:type="paragraph" w:styleId="9">
    <w:name w:val="heading 8"/>
    <w:basedOn w:val="1"/>
    <w:next w:val="1"/>
    <w:link w:val="30"/>
    <w:semiHidden/>
    <w:unhideWhenUsed/>
    <w:qFormat/>
    <w:uiPriority w:val="9"/>
    <w:pPr>
      <w:keepNext/>
      <w:keepLines/>
      <w:outlineLvl w:val="7"/>
    </w:pPr>
    <w:rPr>
      <w:rFonts w:asciiTheme="minorHAnsi" w:hAnsiTheme="minorHAnsi" w:eastAsiaTheme="minorEastAsia" w:cstheme="majorBidi"/>
      <w:color w:val="595959" w:themeColor="text1" w:themeTint="A6"/>
      <w14:textFill>
        <w14:solidFill>
          <w14:schemeClr w14:val="tx1">
            <w14:lumMod w14:val="65000"/>
            <w14:lumOff w14:val="35000"/>
          </w14:schemeClr>
        </w14:solidFill>
      </w14:textFill>
    </w:rPr>
  </w:style>
  <w:style w:type="paragraph" w:styleId="10">
    <w:name w:val="heading 9"/>
    <w:basedOn w:val="1"/>
    <w:next w:val="1"/>
    <w:link w:val="31"/>
    <w:semiHidden/>
    <w:unhideWhenUsed/>
    <w:qFormat/>
    <w:uiPriority w:val="9"/>
    <w:pPr>
      <w:keepNext/>
      <w:keepLines/>
      <w:outlineLvl w:val="8"/>
    </w:pPr>
    <w:rPr>
      <w:rFonts w:asciiTheme="minorHAnsi" w:hAnsiTheme="minorHAnsi" w:eastAsiaTheme="majorEastAsia" w:cstheme="majorBidi"/>
      <w:color w:val="595959" w:themeColor="text1" w:themeTint="A6"/>
      <w14:textFill>
        <w14:solidFill>
          <w14:schemeClr w14:val="tx1">
            <w14:lumMod w14:val="65000"/>
            <w14:lumOff w14:val="35000"/>
          </w14:schemeClr>
        </w14:solidFill>
      </w14:textFill>
    </w:rPr>
  </w:style>
  <w:style w:type="character" w:default="1" w:styleId="21">
    <w:name w:val="Default Paragraph Font"/>
    <w:semiHidden/>
    <w:unhideWhenUsed/>
    <w:qFormat/>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styleId="11">
    <w:name w:val="annotation text"/>
    <w:basedOn w:val="1"/>
    <w:link w:val="41"/>
    <w:semiHidden/>
    <w:unhideWhenUsed/>
    <w:qFormat/>
    <w:uiPriority w:val="99"/>
    <w:pPr>
      <w:jc w:val="left"/>
    </w:pPr>
  </w:style>
  <w:style w:type="paragraph" w:styleId="12">
    <w:name w:val="Balloon Text"/>
    <w:basedOn w:val="1"/>
    <w:link w:val="45"/>
    <w:semiHidden/>
    <w:unhideWhenUsed/>
    <w:qFormat/>
    <w:uiPriority w:val="99"/>
    <w:rPr>
      <w:sz w:val="18"/>
      <w:szCs w:val="18"/>
    </w:rPr>
  </w:style>
  <w:style w:type="paragraph" w:styleId="13">
    <w:name w:val="footer"/>
    <w:basedOn w:val="1"/>
    <w:link w:val="43"/>
    <w:semiHidden/>
    <w:unhideWhenUsed/>
    <w:qFormat/>
    <w:uiPriority w:val="99"/>
    <w:pPr>
      <w:tabs>
        <w:tab w:val="center" w:pos="4153"/>
        <w:tab w:val="right" w:pos="8306"/>
      </w:tabs>
      <w:snapToGrid w:val="0"/>
      <w:jc w:val="left"/>
    </w:pPr>
    <w:rPr>
      <w:sz w:val="18"/>
      <w:szCs w:val="18"/>
    </w:rPr>
  </w:style>
  <w:style w:type="paragraph" w:styleId="14">
    <w:name w:val="header"/>
    <w:basedOn w:val="1"/>
    <w:link w:val="42"/>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15">
    <w:name w:val="Subtitle"/>
    <w:basedOn w:val="1"/>
    <w:next w:val="1"/>
    <w:link w:val="33"/>
    <w:qFormat/>
    <w:uiPriority w:val="11"/>
    <w:pPr>
      <w:spacing w:after="160"/>
      <w:jc w:val="center"/>
    </w:pPr>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16">
    <w:name w:val="Normal (Web)"/>
    <w:basedOn w:val="1"/>
    <w:semiHidden/>
    <w:unhideWhenUsed/>
    <w:qFormat/>
    <w:uiPriority w:val="0"/>
    <w:pPr>
      <w:spacing w:before="100" w:beforeAutospacing="1" w:after="100" w:afterAutospacing="1"/>
      <w:jc w:val="left"/>
    </w:pPr>
    <w:rPr>
      <w:kern w:val="0"/>
      <w:sz w:val="24"/>
      <w:szCs w:val="24"/>
    </w:rPr>
  </w:style>
  <w:style w:type="paragraph" w:styleId="17">
    <w:name w:val="Title"/>
    <w:basedOn w:val="1"/>
    <w:next w:val="1"/>
    <w:link w:val="32"/>
    <w:qFormat/>
    <w:uiPriority w:val="10"/>
    <w:pPr>
      <w:spacing w:after="80"/>
      <w:contextualSpacing/>
      <w:jc w:val="center"/>
    </w:pPr>
    <w:rPr>
      <w:rFonts w:asciiTheme="majorHAnsi" w:hAnsiTheme="majorHAnsi" w:eastAsiaTheme="majorEastAsia" w:cstheme="majorBidi"/>
      <w:spacing w:val="-10"/>
      <w:kern w:val="28"/>
      <w:sz w:val="56"/>
      <w:szCs w:val="56"/>
    </w:rPr>
  </w:style>
  <w:style w:type="paragraph" w:styleId="18">
    <w:name w:val="annotation subject"/>
    <w:basedOn w:val="11"/>
    <w:next w:val="11"/>
    <w:link w:val="44"/>
    <w:semiHidden/>
    <w:unhideWhenUsed/>
    <w:qFormat/>
    <w:uiPriority w:val="99"/>
    <w:rPr>
      <w:b/>
      <w:bCs/>
    </w:rPr>
  </w:style>
  <w:style w:type="table" w:styleId="20">
    <w:name w:val="Table Grid"/>
    <w:basedOn w:val="19"/>
    <w:qFormat/>
    <w:uiPriority w:val="0"/>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2">
    <w:name w:val="annotation reference"/>
    <w:basedOn w:val="21"/>
    <w:semiHidden/>
    <w:unhideWhenUsed/>
    <w:qFormat/>
    <w:uiPriority w:val="99"/>
    <w:rPr>
      <w:sz w:val="21"/>
      <w:szCs w:val="21"/>
    </w:rPr>
  </w:style>
  <w:style w:type="character" w:customStyle="1" w:styleId="23">
    <w:name w:val="标题 1 Char"/>
    <w:basedOn w:val="21"/>
    <w:link w:val="2"/>
    <w:qFormat/>
    <w:uiPriority w:val="9"/>
    <w:rPr>
      <w:rFonts w:asciiTheme="majorHAnsi" w:hAnsiTheme="majorHAnsi" w:eastAsiaTheme="majorEastAsia" w:cstheme="majorBidi"/>
      <w:color w:val="104862" w:themeColor="accent1" w:themeShade="BF"/>
      <w:sz w:val="48"/>
      <w:szCs w:val="48"/>
    </w:rPr>
  </w:style>
  <w:style w:type="character" w:customStyle="1" w:styleId="24">
    <w:name w:val="标题 2 Char"/>
    <w:basedOn w:val="21"/>
    <w:link w:val="3"/>
    <w:semiHidden/>
    <w:qFormat/>
    <w:uiPriority w:val="9"/>
    <w:rPr>
      <w:rFonts w:asciiTheme="majorHAnsi" w:hAnsiTheme="majorHAnsi" w:eastAsiaTheme="majorEastAsia" w:cstheme="majorBidi"/>
      <w:color w:val="104862" w:themeColor="accent1" w:themeShade="BF"/>
      <w:sz w:val="40"/>
      <w:szCs w:val="40"/>
    </w:rPr>
  </w:style>
  <w:style w:type="character" w:customStyle="1" w:styleId="25">
    <w:name w:val="标题 3 Char"/>
    <w:basedOn w:val="21"/>
    <w:link w:val="4"/>
    <w:semiHidden/>
    <w:qFormat/>
    <w:uiPriority w:val="9"/>
    <w:rPr>
      <w:rFonts w:asciiTheme="majorHAnsi" w:hAnsiTheme="majorHAnsi" w:eastAsiaTheme="majorEastAsia" w:cstheme="majorBidi"/>
      <w:color w:val="104862" w:themeColor="accent1" w:themeShade="BF"/>
      <w:sz w:val="32"/>
      <w:szCs w:val="32"/>
    </w:rPr>
  </w:style>
  <w:style w:type="character" w:customStyle="1" w:styleId="26">
    <w:name w:val="标题 4 Char"/>
    <w:basedOn w:val="21"/>
    <w:link w:val="5"/>
    <w:semiHidden/>
    <w:qFormat/>
    <w:uiPriority w:val="9"/>
    <w:rPr>
      <w:rFonts w:cstheme="majorBidi"/>
      <w:color w:val="104862" w:themeColor="accent1" w:themeShade="BF"/>
      <w:sz w:val="28"/>
      <w:szCs w:val="28"/>
    </w:rPr>
  </w:style>
  <w:style w:type="character" w:customStyle="1" w:styleId="27">
    <w:name w:val="标题 5 Char"/>
    <w:basedOn w:val="21"/>
    <w:link w:val="6"/>
    <w:semiHidden/>
    <w:qFormat/>
    <w:uiPriority w:val="9"/>
    <w:rPr>
      <w:rFonts w:cstheme="majorBidi"/>
      <w:color w:val="104862" w:themeColor="accent1" w:themeShade="BF"/>
      <w:sz w:val="24"/>
      <w:szCs w:val="24"/>
    </w:rPr>
  </w:style>
  <w:style w:type="character" w:customStyle="1" w:styleId="28">
    <w:name w:val="标题 6 Char"/>
    <w:basedOn w:val="21"/>
    <w:link w:val="7"/>
    <w:semiHidden/>
    <w:qFormat/>
    <w:uiPriority w:val="9"/>
    <w:rPr>
      <w:rFonts w:cstheme="majorBidi"/>
      <w:b/>
      <w:bCs/>
      <w:color w:val="104862" w:themeColor="accent1" w:themeShade="BF"/>
    </w:rPr>
  </w:style>
  <w:style w:type="character" w:customStyle="1" w:styleId="29">
    <w:name w:val="标题 7 Char"/>
    <w:basedOn w:val="21"/>
    <w:link w:val="8"/>
    <w:semiHidden/>
    <w:qFormat/>
    <w:uiPriority w:val="9"/>
    <w:rPr>
      <w:rFonts w:cstheme="majorBidi"/>
      <w:b/>
      <w:bCs/>
      <w:color w:val="595959" w:themeColor="text1" w:themeTint="A6"/>
      <w14:textFill>
        <w14:solidFill>
          <w14:schemeClr w14:val="tx1">
            <w14:lumMod w14:val="65000"/>
            <w14:lumOff w14:val="35000"/>
          </w14:schemeClr>
        </w14:solidFill>
      </w14:textFill>
    </w:rPr>
  </w:style>
  <w:style w:type="character" w:customStyle="1" w:styleId="30">
    <w:name w:val="标题 8 Char"/>
    <w:basedOn w:val="21"/>
    <w:link w:val="9"/>
    <w:semiHidden/>
    <w:qFormat/>
    <w:uiPriority w:val="9"/>
    <w:rPr>
      <w:rFonts w:cstheme="majorBidi"/>
      <w:color w:val="595959" w:themeColor="text1" w:themeTint="A6"/>
      <w14:textFill>
        <w14:solidFill>
          <w14:schemeClr w14:val="tx1">
            <w14:lumMod w14:val="65000"/>
            <w14:lumOff w14:val="35000"/>
          </w14:schemeClr>
        </w14:solidFill>
      </w14:textFill>
    </w:rPr>
  </w:style>
  <w:style w:type="character" w:customStyle="1" w:styleId="31">
    <w:name w:val="标题 9 Char"/>
    <w:basedOn w:val="21"/>
    <w:link w:val="10"/>
    <w:semiHidden/>
    <w:qFormat/>
    <w:uiPriority w:val="9"/>
    <w:rPr>
      <w:rFonts w:eastAsiaTheme="majorEastAsia" w:cstheme="majorBidi"/>
      <w:color w:val="595959" w:themeColor="text1" w:themeTint="A6"/>
      <w14:textFill>
        <w14:solidFill>
          <w14:schemeClr w14:val="tx1">
            <w14:lumMod w14:val="65000"/>
            <w14:lumOff w14:val="35000"/>
          </w14:schemeClr>
        </w14:solidFill>
      </w14:textFill>
    </w:rPr>
  </w:style>
  <w:style w:type="character" w:customStyle="1" w:styleId="32">
    <w:name w:val="标题 Char"/>
    <w:basedOn w:val="21"/>
    <w:link w:val="17"/>
    <w:qFormat/>
    <w:uiPriority w:val="10"/>
    <w:rPr>
      <w:rFonts w:asciiTheme="majorHAnsi" w:hAnsiTheme="majorHAnsi" w:eastAsiaTheme="majorEastAsia" w:cstheme="majorBidi"/>
      <w:spacing w:val="-10"/>
      <w:kern w:val="28"/>
      <w:sz w:val="56"/>
      <w:szCs w:val="56"/>
    </w:rPr>
  </w:style>
  <w:style w:type="character" w:customStyle="1" w:styleId="33">
    <w:name w:val="副标题 Char"/>
    <w:basedOn w:val="21"/>
    <w:link w:val="15"/>
    <w:qFormat/>
    <w:uiPriority w:val="11"/>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34">
    <w:name w:val="Quote"/>
    <w:basedOn w:val="1"/>
    <w:next w:val="1"/>
    <w:link w:val="35"/>
    <w:qFormat/>
    <w:uiPriority w:val="29"/>
    <w:pPr>
      <w:spacing w:before="160" w:after="160"/>
      <w:jc w:val="center"/>
    </w:pPr>
    <w:rPr>
      <w:rFonts w:asciiTheme="minorHAnsi" w:hAnsiTheme="minorHAnsi" w:eastAsiaTheme="minorEastAsia" w:cstheme="minorBidi"/>
      <w:i/>
      <w:iCs/>
      <w:color w:val="404040" w:themeColor="text1" w:themeTint="BF"/>
      <w14:textFill>
        <w14:solidFill>
          <w14:schemeClr w14:val="tx1">
            <w14:lumMod w14:val="75000"/>
            <w14:lumOff w14:val="25000"/>
          </w14:schemeClr>
        </w14:solidFill>
      </w14:textFill>
    </w:rPr>
  </w:style>
  <w:style w:type="character" w:customStyle="1" w:styleId="35">
    <w:name w:val="引用 Char"/>
    <w:basedOn w:val="21"/>
    <w:link w:val="34"/>
    <w:qFormat/>
    <w:uiPriority w:val="29"/>
    <w:rPr>
      <w:i/>
      <w:iCs/>
      <w:color w:val="404040" w:themeColor="text1" w:themeTint="BF"/>
      <w14:textFill>
        <w14:solidFill>
          <w14:schemeClr w14:val="tx1">
            <w14:lumMod w14:val="75000"/>
            <w14:lumOff w14:val="25000"/>
          </w14:schemeClr>
        </w14:solidFill>
      </w14:textFill>
    </w:rPr>
  </w:style>
  <w:style w:type="paragraph" w:styleId="36">
    <w:name w:val="List Paragraph"/>
    <w:basedOn w:val="1"/>
    <w:qFormat/>
    <w:uiPriority w:val="34"/>
    <w:pPr>
      <w:ind w:left="720"/>
      <w:contextualSpacing/>
    </w:pPr>
    <w:rPr>
      <w:rFonts w:asciiTheme="minorHAnsi" w:hAnsiTheme="minorHAnsi" w:eastAsiaTheme="minorEastAsia" w:cstheme="minorBidi"/>
    </w:rPr>
  </w:style>
  <w:style w:type="character" w:customStyle="1" w:styleId="37">
    <w:name w:val="明显强调1"/>
    <w:basedOn w:val="21"/>
    <w:qFormat/>
    <w:uiPriority w:val="21"/>
    <w:rPr>
      <w:i/>
      <w:iCs/>
      <w:color w:val="104862" w:themeColor="accent1" w:themeShade="BF"/>
    </w:rPr>
  </w:style>
  <w:style w:type="paragraph" w:styleId="38">
    <w:name w:val="Intense Quote"/>
    <w:basedOn w:val="1"/>
    <w:next w:val="1"/>
    <w:link w:val="39"/>
    <w:qFormat/>
    <w:uiPriority w:val="30"/>
    <w:pPr>
      <w:pBdr>
        <w:top w:val="single" w:color="0F4761" w:themeColor="accent1" w:themeShade="BF" w:sz="4" w:space="10"/>
        <w:bottom w:val="single" w:color="0F4761" w:themeColor="accent1" w:themeShade="BF" w:sz="4" w:space="10"/>
      </w:pBdr>
      <w:spacing w:before="360" w:after="360"/>
      <w:ind w:left="864" w:right="864"/>
      <w:jc w:val="center"/>
    </w:pPr>
    <w:rPr>
      <w:rFonts w:asciiTheme="minorHAnsi" w:hAnsiTheme="minorHAnsi" w:eastAsiaTheme="minorEastAsia" w:cstheme="minorBidi"/>
      <w:i/>
      <w:iCs/>
      <w:color w:val="104862" w:themeColor="accent1" w:themeShade="BF"/>
    </w:rPr>
  </w:style>
  <w:style w:type="character" w:customStyle="1" w:styleId="39">
    <w:name w:val="明显引用 Char"/>
    <w:basedOn w:val="21"/>
    <w:link w:val="38"/>
    <w:qFormat/>
    <w:uiPriority w:val="30"/>
    <w:rPr>
      <w:i/>
      <w:iCs/>
      <w:color w:val="104862" w:themeColor="accent1" w:themeShade="BF"/>
    </w:rPr>
  </w:style>
  <w:style w:type="character" w:customStyle="1" w:styleId="40">
    <w:name w:val="明显参考1"/>
    <w:basedOn w:val="21"/>
    <w:qFormat/>
    <w:uiPriority w:val="32"/>
    <w:rPr>
      <w:b/>
      <w:bCs/>
      <w:smallCaps/>
      <w:color w:val="104862" w:themeColor="accent1" w:themeShade="BF"/>
      <w:spacing w:val="5"/>
    </w:rPr>
  </w:style>
  <w:style w:type="character" w:customStyle="1" w:styleId="41">
    <w:name w:val="批注文字 Char"/>
    <w:basedOn w:val="21"/>
    <w:link w:val="11"/>
    <w:semiHidden/>
    <w:qFormat/>
    <w:uiPriority w:val="99"/>
    <w:rPr>
      <w:rFonts w:ascii="Calibri" w:hAnsi="Calibri" w:eastAsia="宋体" w:cs="Times New Roman"/>
    </w:rPr>
  </w:style>
  <w:style w:type="character" w:customStyle="1" w:styleId="42">
    <w:name w:val="页眉 Char"/>
    <w:basedOn w:val="21"/>
    <w:link w:val="14"/>
    <w:semiHidden/>
    <w:qFormat/>
    <w:uiPriority w:val="99"/>
    <w:rPr>
      <w:rFonts w:ascii="Calibri" w:hAnsi="Calibri" w:eastAsia="宋体" w:cs="Times New Roman"/>
      <w:sz w:val="18"/>
      <w:szCs w:val="18"/>
    </w:rPr>
  </w:style>
  <w:style w:type="character" w:customStyle="1" w:styleId="43">
    <w:name w:val="页脚 Char"/>
    <w:basedOn w:val="21"/>
    <w:link w:val="13"/>
    <w:semiHidden/>
    <w:qFormat/>
    <w:uiPriority w:val="99"/>
    <w:rPr>
      <w:rFonts w:ascii="Calibri" w:hAnsi="Calibri" w:eastAsia="宋体" w:cs="Times New Roman"/>
      <w:sz w:val="18"/>
      <w:szCs w:val="18"/>
    </w:rPr>
  </w:style>
  <w:style w:type="character" w:customStyle="1" w:styleId="44">
    <w:name w:val="批注主题 Char"/>
    <w:basedOn w:val="41"/>
    <w:link w:val="18"/>
    <w:semiHidden/>
    <w:qFormat/>
    <w:uiPriority w:val="99"/>
    <w:rPr>
      <w:b/>
      <w:bCs/>
      <w:kern w:val="2"/>
      <w:sz w:val="21"/>
      <w:szCs w:val="22"/>
    </w:rPr>
  </w:style>
  <w:style w:type="character" w:customStyle="1" w:styleId="45">
    <w:name w:val="批注框文本 Char"/>
    <w:basedOn w:val="21"/>
    <w:link w:val="12"/>
    <w:semiHidden/>
    <w:qFormat/>
    <w:uiPriority w:val="99"/>
    <w:rPr>
      <w:rFonts w:ascii="Calibri" w:hAnsi="Calibri" w:eastAsia="宋体" w:cs="Times New Roman"/>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28</Pages>
  <Words>19904</Words>
  <Characters>20409</Characters>
  <Lines>155</Lines>
  <Paragraphs>43</Paragraphs>
  <TotalTime>58</TotalTime>
  <ScaleCrop>false</ScaleCrop>
  <LinksUpToDate>false</LinksUpToDate>
  <CharactersWithSpaces>21677</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2025-02-14T05:42:00Z</dcterms:created>
  <dc:creator>wenjuan xiang</dc:creator>
  <cp:lastModifiedBy>梦婷</cp:lastModifiedBy>
  <cp:lastPrinted>2025-02-14T06:44:00Z</cp:lastPrinted>
  <dcterms:modified xsi:type="dcterms:W3CDTF">2025-02-17T06:49:28Z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eyJoZGlkIjoiMmQ2Y2U0NjFhNTE3MDZjYjEzMjdjNTc2OGNhYzBlY2IiLCJ1c2VySWQiOiIxMjA2NDc3MzkxIn0=</vt:lpwstr>
  </property>
  <property fmtid="{D5CDD505-2E9C-101B-9397-08002B2CF9AE}" pid="3" name="KSOProductBuildVer">
    <vt:lpwstr>2052-12.1.0.19770</vt:lpwstr>
  </property>
  <property fmtid="{D5CDD505-2E9C-101B-9397-08002B2CF9AE}" pid="4" name="ICV">
    <vt:lpwstr>5D577C0ED5814C568FFC1BCF523E4B5B_13</vt:lpwstr>
  </property>
</Properties>
</file>